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83DD7">
      <w:pPr>
        <w:spacing w:line="360" w:lineRule="auto"/>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梓潼县人民医院</w:t>
      </w:r>
    </w:p>
    <w:p w14:paraId="1264AA7C">
      <w:pPr>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电梯维保服务采购项目（第二次）</w:t>
      </w:r>
    </w:p>
    <w:p w14:paraId="7BE43960">
      <w:pPr>
        <w:jc w:val="center"/>
        <w:rPr>
          <w:rFonts w:hint="eastAsia" w:ascii="楷体" w:hAnsi="楷体" w:eastAsia="楷体" w:cs="楷体"/>
          <w:b/>
          <w:bCs/>
          <w:color w:val="auto"/>
          <w:highlight w:val="none"/>
          <w:lang w:val="en-US" w:eastAsia="zh-CN"/>
        </w:rPr>
      </w:pPr>
    </w:p>
    <w:p w14:paraId="2A61F45B">
      <w:pPr>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项目编号：</w:t>
      </w:r>
      <w:r>
        <w:rPr>
          <w:rFonts w:hint="eastAsia" w:ascii="黑体" w:hAnsi="黑体" w:eastAsia="黑体" w:cs="黑体"/>
          <w:b/>
          <w:bCs/>
          <w:color w:val="auto"/>
          <w:sz w:val="32"/>
          <w:szCs w:val="32"/>
          <w:highlight w:val="none"/>
          <w:lang w:val="en-US" w:eastAsia="zh-CN"/>
        </w:rPr>
        <w:tab/>
      </w:r>
      <w:r>
        <w:rPr>
          <w:rFonts w:hint="eastAsia" w:ascii="黑体" w:hAnsi="黑体" w:eastAsia="黑体" w:cs="黑体"/>
          <w:b/>
          <w:bCs/>
          <w:color w:val="auto"/>
          <w:sz w:val="32"/>
          <w:szCs w:val="32"/>
          <w:highlight w:val="none"/>
          <w:lang w:val="en-US" w:eastAsia="zh-CN"/>
        </w:rPr>
        <w:t>梓人医竞（2026）004号</w:t>
      </w:r>
    </w:p>
    <w:p w14:paraId="6666902D">
      <w:pPr>
        <w:jc w:val="both"/>
        <w:rPr>
          <w:rFonts w:hint="eastAsia" w:ascii="宋体" w:hAnsi="宋体"/>
          <w:b/>
          <w:color w:val="auto"/>
          <w:spacing w:val="-30"/>
          <w:sz w:val="120"/>
          <w:szCs w:val="120"/>
          <w:highlight w:val="none"/>
        </w:rPr>
      </w:pPr>
    </w:p>
    <w:p w14:paraId="73FBF2B7">
      <w:pPr>
        <w:jc w:val="center"/>
        <w:rPr>
          <w:rFonts w:hint="eastAsia" w:ascii="宋体" w:hAnsi="宋体"/>
          <w:b/>
          <w:color w:val="auto"/>
          <w:spacing w:val="-30"/>
          <w:sz w:val="120"/>
          <w:szCs w:val="120"/>
          <w:highlight w:val="none"/>
        </w:rPr>
      </w:pPr>
      <w:r>
        <w:rPr>
          <w:rFonts w:hint="eastAsia" w:ascii="宋体" w:hAnsi="宋体"/>
          <w:b/>
          <w:color w:val="auto"/>
          <w:spacing w:val="-30"/>
          <w:sz w:val="120"/>
          <w:szCs w:val="120"/>
          <w:highlight w:val="none"/>
        </w:rPr>
        <w:t>竞争性磋商文件</w:t>
      </w:r>
    </w:p>
    <w:p w14:paraId="11B56451">
      <w:pPr>
        <w:jc w:val="center"/>
        <w:rPr>
          <w:rFonts w:hint="eastAsia" w:ascii="楷体" w:hAnsi="楷体" w:eastAsia="楷体" w:cs="楷体"/>
          <w:b/>
          <w:bCs/>
          <w:color w:val="auto"/>
          <w:sz w:val="84"/>
          <w:highlight w:val="none"/>
        </w:rPr>
      </w:pPr>
    </w:p>
    <w:p w14:paraId="5D8B079E">
      <w:pPr>
        <w:pStyle w:val="6"/>
        <w:rPr>
          <w:rFonts w:hint="eastAsia"/>
          <w:color w:val="auto"/>
          <w:highlight w:val="none"/>
        </w:rPr>
      </w:pPr>
    </w:p>
    <w:p w14:paraId="7E3E41B5">
      <w:pPr>
        <w:rPr>
          <w:rFonts w:hint="eastAsia"/>
          <w:color w:val="auto"/>
          <w:highlight w:val="none"/>
        </w:rPr>
      </w:pPr>
    </w:p>
    <w:p w14:paraId="51F00E0E">
      <w:pPr>
        <w:pStyle w:val="6"/>
        <w:rPr>
          <w:rFonts w:hint="eastAsia"/>
          <w:color w:val="auto"/>
          <w:highlight w:val="none"/>
        </w:rPr>
      </w:pPr>
    </w:p>
    <w:p w14:paraId="04BBC378">
      <w:pPr>
        <w:spacing w:line="360" w:lineRule="auto"/>
        <w:jc w:val="center"/>
        <w:rPr>
          <w:rFonts w:hint="eastAsia" w:ascii="楷体" w:hAnsi="楷体" w:eastAsia="楷体" w:cs="楷体"/>
          <w:color w:val="auto"/>
          <w:szCs w:val="24"/>
          <w:highlight w:val="none"/>
        </w:rPr>
      </w:pPr>
    </w:p>
    <w:p w14:paraId="12EF4C36">
      <w:pPr>
        <w:pStyle w:val="6"/>
        <w:rPr>
          <w:rFonts w:hint="eastAsia"/>
          <w:color w:val="auto"/>
          <w:highlight w:val="none"/>
        </w:rPr>
      </w:pPr>
    </w:p>
    <w:p w14:paraId="6F565F8D">
      <w:pPr>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梓潼县人民医院</w:t>
      </w:r>
    </w:p>
    <w:p w14:paraId="51C7A5A4">
      <w:pPr>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2026年3月</w:t>
      </w:r>
    </w:p>
    <w:p w14:paraId="2E539A52">
      <w:pPr>
        <w:rPr>
          <w:rFonts w:hint="eastAsia" w:ascii="楷体" w:hAnsi="楷体" w:eastAsia="楷体" w:cs="楷体"/>
          <w:color w:val="auto"/>
          <w:highlight w:val="none"/>
        </w:rPr>
      </w:pPr>
    </w:p>
    <w:p w14:paraId="159745D8">
      <w:pPr>
        <w:pStyle w:val="2"/>
        <w:rPr>
          <w:rFonts w:hint="eastAsia" w:ascii="楷体" w:hAnsi="楷体" w:eastAsia="楷体" w:cs="楷体"/>
          <w:color w:val="auto"/>
          <w:highlight w:val="none"/>
        </w:rPr>
      </w:pPr>
    </w:p>
    <w:p w14:paraId="4BD466A0">
      <w:pPr>
        <w:jc w:val="center"/>
        <w:rPr>
          <w:rFonts w:hint="eastAsia" w:ascii="宋体" w:hAnsi="宋体" w:eastAsia="宋体" w:cs="宋体"/>
          <w:b/>
          <w:bCs/>
          <w:color w:val="auto"/>
          <w:sz w:val="36"/>
          <w:highlight w:val="none"/>
          <w:lang w:val="en-US" w:eastAsia="zh-CN"/>
        </w:rPr>
        <w:sectPr>
          <w:pgSz w:w="11906" w:h="16838"/>
          <w:pgMar w:top="1440" w:right="1800" w:bottom="1440" w:left="1800" w:header="851" w:footer="992" w:gutter="0"/>
          <w:cols w:space="425" w:num="1"/>
          <w:docGrid w:type="lines" w:linePitch="312" w:charSpace="0"/>
        </w:sectPr>
      </w:pPr>
    </w:p>
    <w:p w14:paraId="7D468EC1">
      <w:pPr>
        <w:jc w:val="center"/>
        <w:rPr>
          <w:rFonts w:hint="eastAsia"/>
          <w:b/>
          <w:bCs/>
          <w:color w:val="auto"/>
          <w:highlight w:val="none"/>
        </w:rPr>
      </w:pPr>
      <w:r>
        <w:rPr>
          <w:rFonts w:hint="eastAsia" w:ascii="宋体" w:hAnsi="宋体" w:eastAsia="宋体" w:cs="宋体"/>
          <w:b/>
          <w:bCs/>
          <w:color w:val="auto"/>
          <w:sz w:val="36"/>
          <w:highlight w:val="none"/>
          <w:lang w:val="en-US" w:eastAsia="zh-CN"/>
        </w:rPr>
        <w:t xml:space="preserve">第一章 </w:t>
      </w:r>
      <w:r>
        <w:rPr>
          <w:rFonts w:hint="eastAsia" w:ascii="宋体" w:hAnsi="宋体" w:eastAsia="宋体" w:cs="宋体"/>
          <w:b/>
          <w:bCs/>
          <w:color w:val="auto"/>
          <w:sz w:val="36"/>
          <w:highlight w:val="none"/>
        </w:rPr>
        <w:t>磋商邀请</w:t>
      </w:r>
    </w:p>
    <w:p w14:paraId="3F611508">
      <w:pPr>
        <w:spacing w:line="540" w:lineRule="exact"/>
        <w:ind w:left="640" w:firstLine="640" w:firstLineChars="200"/>
        <w:rPr>
          <w:rFonts w:hint="eastAsia" w:ascii="楷体" w:hAnsi="楷体" w:eastAsia="楷体" w:cs="楷体"/>
          <w:color w:val="auto"/>
          <w:highlight w:val="none"/>
        </w:rPr>
      </w:pPr>
    </w:p>
    <w:p w14:paraId="370843A1">
      <w:pPr>
        <w:spacing w:line="5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梓潼县人民医院拟对</w:t>
      </w:r>
      <w:r>
        <w:rPr>
          <w:rFonts w:hint="eastAsia" w:ascii="仿宋" w:hAnsi="仿宋" w:eastAsia="仿宋" w:cs="仿宋"/>
          <w:b w:val="0"/>
          <w:bCs w:val="0"/>
          <w:color w:val="auto"/>
          <w:sz w:val="32"/>
          <w:szCs w:val="32"/>
          <w:highlight w:val="none"/>
          <w:lang w:eastAsia="zh-CN"/>
        </w:rPr>
        <w:t>电梯维保服务采购项目（第二次）</w:t>
      </w:r>
      <w:r>
        <w:rPr>
          <w:rFonts w:hint="eastAsia" w:ascii="仿宋" w:hAnsi="仿宋" w:eastAsia="仿宋" w:cs="仿宋"/>
          <w:b w:val="0"/>
          <w:bCs w:val="0"/>
          <w:color w:val="auto"/>
          <w:sz w:val="32"/>
          <w:szCs w:val="32"/>
          <w:highlight w:val="none"/>
        </w:rPr>
        <w:t>采用竞争性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方式进行采购，兹邀请符合本次采购要求的供应商参加本项目的竞争性</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rPr>
        <w:t>。</w:t>
      </w:r>
    </w:p>
    <w:p w14:paraId="4F861E3E">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一、项目基本情况</w:t>
      </w:r>
    </w:p>
    <w:p w14:paraId="04287670">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1、采购人：梓潼县人民医院          </w:t>
      </w:r>
    </w:p>
    <w:p w14:paraId="75E37368">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2、项目名称：</w:t>
      </w:r>
      <w:r>
        <w:rPr>
          <w:rFonts w:hint="eastAsia" w:ascii="仿宋" w:hAnsi="仿宋" w:eastAsia="仿宋" w:cs="仿宋"/>
          <w:b w:val="0"/>
          <w:bCs w:val="0"/>
          <w:color w:val="auto"/>
          <w:sz w:val="32"/>
          <w:szCs w:val="32"/>
          <w:highlight w:val="none"/>
          <w:lang w:eastAsia="zh-CN"/>
        </w:rPr>
        <w:t>电梯维保服务采购项目（第二次）</w:t>
      </w:r>
    </w:p>
    <w:p w14:paraId="12EB3D11">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3、项目编号：梓人医竞（2026）004号</w:t>
      </w:r>
    </w:p>
    <w:p w14:paraId="6E98DCB2">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 xml:space="preserve">、采购内容：详见项目内容及其他商务要求。     </w:t>
      </w:r>
    </w:p>
    <w:p w14:paraId="54D7008C">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、项目预算（人民币）：</w:t>
      </w:r>
      <w:r>
        <w:rPr>
          <w:rFonts w:hint="eastAsia" w:ascii="仿宋" w:hAnsi="仿宋" w:eastAsia="仿宋" w:cs="仿宋"/>
          <w:b w:val="0"/>
          <w:bCs w:val="0"/>
          <w:color w:val="auto"/>
          <w:sz w:val="32"/>
          <w:szCs w:val="32"/>
          <w:highlight w:val="none"/>
          <w:lang w:val="en-US" w:eastAsia="zh-CN"/>
        </w:rPr>
        <w:t>53000</w:t>
      </w:r>
      <w:r>
        <w:rPr>
          <w:rFonts w:hint="eastAsia" w:ascii="仿宋" w:hAnsi="仿宋" w:eastAsia="仿宋" w:cs="仿宋"/>
          <w:b w:val="0"/>
          <w:bCs w:val="0"/>
          <w:color w:val="auto"/>
          <w:sz w:val="32"/>
          <w:szCs w:val="32"/>
          <w:highlight w:val="none"/>
        </w:rPr>
        <w:t>元</w:t>
      </w:r>
      <w:r>
        <w:rPr>
          <w:rFonts w:hint="eastAsia" w:ascii="仿宋" w:hAnsi="仿宋" w:eastAsia="仿宋" w:cs="仿宋"/>
          <w:b w:val="0"/>
          <w:bCs w:val="0"/>
          <w:color w:val="auto"/>
          <w:sz w:val="32"/>
          <w:szCs w:val="32"/>
          <w:highlight w:val="none"/>
          <w:lang w:val="en-US" w:eastAsia="zh-CN"/>
        </w:rPr>
        <w:t>/年</w:t>
      </w:r>
      <w:r>
        <w:rPr>
          <w:rFonts w:hint="eastAsia" w:ascii="仿宋" w:hAnsi="仿宋" w:eastAsia="仿宋" w:cs="仿宋"/>
          <w:b w:val="0"/>
          <w:bCs w:val="0"/>
          <w:color w:val="auto"/>
          <w:sz w:val="32"/>
          <w:szCs w:val="32"/>
          <w:highlight w:val="none"/>
        </w:rPr>
        <w:t>（大写：</w:t>
      </w:r>
      <w:r>
        <w:rPr>
          <w:rFonts w:hint="eastAsia" w:ascii="仿宋" w:hAnsi="仿宋" w:eastAsia="仿宋" w:cs="仿宋"/>
          <w:b w:val="0"/>
          <w:bCs w:val="0"/>
          <w:color w:val="auto"/>
          <w:sz w:val="32"/>
          <w:szCs w:val="32"/>
          <w:highlight w:val="none"/>
          <w:lang w:val="en-US" w:eastAsia="zh-CN"/>
        </w:rPr>
        <w:t>伍万叁仟元/年</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，共20台</w:t>
      </w:r>
      <w:r>
        <w:rPr>
          <w:rFonts w:hint="eastAsia" w:ascii="仿宋" w:hAnsi="仿宋" w:eastAsia="仿宋" w:cs="仿宋"/>
          <w:b w:val="0"/>
          <w:bCs w:val="0"/>
          <w:color w:val="auto"/>
          <w:sz w:val="32"/>
          <w:szCs w:val="32"/>
          <w:highlight w:val="none"/>
        </w:rPr>
        <w:t>。</w:t>
      </w:r>
    </w:p>
    <w:p w14:paraId="1C296366">
      <w:pPr>
        <w:spacing w:line="44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注：本次报价分为2次报价，第1次报价响应文件报价不得超过招标控制价，第2次现场报价不得高于第1次响应文件报价,否则作为废标处理。</w:t>
      </w:r>
    </w:p>
    <w:p w14:paraId="22C1C15B">
      <w:pPr>
        <w:spacing w:line="540" w:lineRule="exact"/>
        <w:ind w:left="64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二、供应商参加本次采购活动应具备下列条件</w:t>
      </w:r>
    </w:p>
    <w:p w14:paraId="3CC2D0B5">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1.具有独立承担民事责任的能力；</w:t>
      </w:r>
    </w:p>
    <w:p w14:paraId="75F606A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2.具有良好的商业信誉和健全的财务会计制度；</w:t>
      </w:r>
    </w:p>
    <w:p w14:paraId="4FE076D3">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3.具有履行合同所必需的设备和专业技术能力；</w:t>
      </w:r>
    </w:p>
    <w:p w14:paraId="0C858D74">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4.有依法缴纳税收和社会保障资金的良好记录；</w:t>
      </w:r>
    </w:p>
    <w:p w14:paraId="126547AF">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5.参加采购活动前三年内，在经营活动中没有重大违法记录；</w:t>
      </w:r>
    </w:p>
    <w:p w14:paraId="0948E6D6">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6.法律、行政法规规定的其他条件；</w:t>
      </w:r>
    </w:p>
    <w:p w14:paraId="794D8FDD">
      <w:pPr>
        <w:spacing w:line="440" w:lineRule="exact"/>
        <w:ind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7.本项目不接受联合体投标</w:t>
      </w:r>
      <w:r>
        <w:rPr>
          <w:rFonts w:hint="eastAsia" w:ascii="仿宋" w:hAnsi="仿宋" w:eastAsia="仿宋" w:cs="仿宋"/>
          <w:b w:val="0"/>
          <w:bCs w:val="0"/>
          <w:color w:val="auto"/>
          <w:sz w:val="32"/>
          <w:szCs w:val="32"/>
          <w:highlight w:val="none"/>
          <w:lang w:eastAsia="zh-CN"/>
        </w:rPr>
        <w:t>；</w:t>
      </w:r>
    </w:p>
    <w:p w14:paraId="303C4FDE">
      <w:pPr>
        <w:spacing w:line="44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8.根据采购项目提出的特殊条件： </w:t>
      </w:r>
    </w:p>
    <w:p w14:paraId="79C562D1">
      <w:pPr>
        <w:spacing w:line="44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 xml:space="preserve">须具备有效的特种设备安全监督管理部门颁发的《中华人民共和国特种设备生产许可证》（电梯安装（含修理））曳引驱动乘客电梯（含消防员电梯）（V≤2.5m/s）及以上资质。 </w:t>
      </w:r>
    </w:p>
    <w:p w14:paraId="730A4B40">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三、质量要求：</w:t>
      </w:r>
      <w:r>
        <w:rPr>
          <w:rFonts w:hint="eastAsia" w:ascii="仿宋" w:hAnsi="仿宋" w:eastAsia="仿宋" w:cs="仿宋"/>
          <w:b w:val="0"/>
          <w:bCs w:val="0"/>
          <w:color w:val="auto"/>
          <w:sz w:val="32"/>
          <w:szCs w:val="32"/>
          <w:highlight w:val="none"/>
        </w:rPr>
        <w:t>符合国家、行业标准。</w:t>
      </w:r>
    </w:p>
    <w:p w14:paraId="41CC6842">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四、获取磋商文件方式</w:t>
      </w:r>
    </w:p>
    <w:p w14:paraId="7135BD8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自行下载。</w:t>
      </w:r>
    </w:p>
    <w:p w14:paraId="1EE35581">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五、报名时间及方式</w:t>
      </w:r>
    </w:p>
    <w:p w14:paraId="19EDD947">
      <w:pPr>
        <w:numPr>
          <w:ilvl w:val="0"/>
          <w:numId w:val="0"/>
        </w:num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1.报名截止时间：2026年3月26</w:t>
      </w:r>
      <w:bookmarkStart w:id="22" w:name="_GoBack"/>
      <w:bookmarkEnd w:id="22"/>
      <w:r>
        <w:rPr>
          <w:rFonts w:hint="eastAsia" w:ascii="仿宋" w:hAnsi="仿宋" w:eastAsia="仿宋" w:cs="仿宋"/>
          <w:b w:val="0"/>
          <w:bCs w:val="0"/>
          <w:color w:val="auto"/>
          <w:sz w:val="32"/>
          <w:szCs w:val="32"/>
          <w:highlight w:val="none"/>
          <w:lang w:val="en-US" w:eastAsia="zh-CN"/>
        </w:rPr>
        <w:t>日17：00。</w:t>
      </w:r>
    </w:p>
    <w:p w14:paraId="3D4911F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2.报名方式：</w:t>
      </w:r>
    </w:p>
    <w:p w14:paraId="50707ECD">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邮箱报名：ztxrmyycg@163.com(报名时上传公司资质压缩文件，邮件名为：电梯维保服务报名文件+公司全称+联系人及电话)</w:t>
      </w:r>
    </w:p>
    <w:p w14:paraId="0133E5DE">
      <w:pPr>
        <w:spacing w:line="500" w:lineRule="exact"/>
        <w:ind w:firstLine="643" w:firstLineChars="200"/>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、响应文件递交时间及地点：</w:t>
      </w:r>
    </w:p>
    <w:p w14:paraId="11F99699">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1.响应文件均须提供正本一份，副本二份，按序左侧胶装，每页加盖公司印章，需用档案袋密封，封装袋上注明公司及项目名称，加盖公司鲜章。</w:t>
      </w:r>
    </w:p>
    <w:p w14:paraId="3F80CFB8">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.响应文件（密封）递交截止时间：</w:t>
      </w:r>
      <w:r>
        <w:rPr>
          <w:rFonts w:hint="eastAsia" w:ascii="仿宋" w:hAnsi="仿宋" w:eastAsia="仿宋" w:cs="仿宋"/>
          <w:b w:val="0"/>
          <w:bCs w:val="0"/>
          <w:color w:val="auto"/>
          <w:sz w:val="32"/>
          <w:szCs w:val="32"/>
          <w:highlight w:val="none"/>
          <w:lang w:eastAsia="zh-CN"/>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27</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p>
    <w:p w14:paraId="155EFD3E">
      <w:pPr>
        <w:spacing w:line="50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.递交地点：梓潼县人民医院办公楼</w:t>
      </w:r>
      <w:r>
        <w:rPr>
          <w:rFonts w:hint="eastAsia" w:ascii="仿宋" w:hAnsi="仿宋" w:eastAsia="仿宋" w:cs="仿宋"/>
          <w:b w:val="0"/>
          <w:bCs w:val="0"/>
          <w:color w:val="auto"/>
          <w:sz w:val="32"/>
          <w:szCs w:val="32"/>
          <w:highlight w:val="none"/>
          <w:lang w:val="en-US" w:eastAsia="zh-CN"/>
        </w:rPr>
        <w:t>三</w:t>
      </w:r>
      <w:r>
        <w:rPr>
          <w:rFonts w:hint="eastAsia" w:ascii="仿宋" w:hAnsi="仿宋" w:eastAsia="仿宋" w:cs="仿宋"/>
          <w:b w:val="0"/>
          <w:bCs w:val="0"/>
          <w:color w:val="auto"/>
          <w:sz w:val="32"/>
          <w:szCs w:val="32"/>
          <w:highlight w:val="none"/>
        </w:rPr>
        <w:t>楼会议室。</w:t>
      </w:r>
    </w:p>
    <w:p w14:paraId="00E066C3">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响应文件必须在递交响应文件截止时间前送达</w:t>
      </w:r>
      <w:r>
        <w:rPr>
          <w:rFonts w:hint="eastAsia" w:ascii="仿宋" w:hAnsi="仿宋" w:eastAsia="仿宋" w:cs="仿宋"/>
          <w:b w:val="0"/>
          <w:bCs w:val="0"/>
          <w:color w:val="auto"/>
          <w:sz w:val="32"/>
          <w:szCs w:val="32"/>
          <w:highlight w:val="none"/>
          <w:lang w:eastAsia="zh-CN"/>
        </w:rPr>
        <w:t>磋商</w:t>
      </w:r>
      <w:r>
        <w:rPr>
          <w:rFonts w:hint="eastAsia" w:ascii="仿宋" w:hAnsi="仿宋" w:eastAsia="仿宋" w:cs="仿宋"/>
          <w:b w:val="0"/>
          <w:bCs w:val="0"/>
          <w:color w:val="auto"/>
          <w:sz w:val="32"/>
          <w:szCs w:val="32"/>
          <w:highlight w:val="none"/>
          <w:lang w:val="en-US" w:eastAsia="zh-CN"/>
        </w:rPr>
        <w:t>地点。逾期送达、密封和标注错误的响应文件，恕不接收。本次采购不接收邮寄的响应文件。</w:t>
      </w:r>
    </w:p>
    <w:p w14:paraId="1B1C269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4.响应文件开启时间：</w:t>
      </w:r>
      <w:r>
        <w:rPr>
          <w:rFonts w:hint="eastAsia" w:ascii="仿宋" w:hAnsi="仿宋" w:eastAsia="仿宋" w:cs="仿宋"/>
          <w:b w:val="0"/>
          <w:bCs w:val="0"/>
          <w:color w:val="auto"/>
          <w:sz w:val="32"/>
          <w:szCs w:val="32"/>
          <w:highlight w:val="none"/>
          <w:lang w:eastAsia="zh-CN"/>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27</w:t>
      </w:r>
      <w:r>
        <w:rPr>
          <w:rFonts w:hint="eastAsia" w:ascii="仿宋" w:hAnsi="仿宋" w:eastAsia="仿宋" w:cs="仿宋"/>
          <w:b w:val="0"/>
          <w:bCs w:val="0"/>
          <w:color w:val="auto"/>
          <w:sz w:val="32"/>
          <w:szCs w:val="32"/>
          <w:highlight w:val="none"/>
        </w:rPr>
        <w:t>日</w:t>
      </w:r>
      <w:r>
        <w:rPr>
          <w:rFonts w:hint="eastAsia" w:ascii="仿宋" w:hAnsi="仿宋" w:eastAsia="仿宋" w:cs="仿宋"/>
          <w:b w:val="0"/>
          <w:bCs w:val="0"/>
          <w:color w:val="auto"/>
          <w:sz w:val="32"/>
          <w:szCs w:val="32"/>
          <w:highlight w:val="none"/>
          <w:lang w:val="en-US" w:eastAsia="zh-CN"/>
        </w:rPr>
        <w:t>10：00</w:t>
      </w:r>
      <w:r>
        <w:rPr>
          <w:rFonts w:hint="eastAsia" w:ascii="仿宋" w:hAnsi="仿宋" w:eastAsia="仿宋" w:cs="仿宋"/>
          <w:b w:val="0"/>
          <w:bCs w:val="0"/>
          <w:color w:val="auto"/>
          <w:sz w:val="32"/>
          <w:szCs w:val="32"/>
          <w:highlight w:val="none"/>
        </w:rPr>
        <w:t>（北京时间）</w:t>
      </w:r>
      <w:r>
        <w:rPr>
          <w:rFonts w:hint="eastAsia" w:ascii="仿宋" w:hAnsi="仿宋" w:eastAsia="仿宋" w:cs="仿宋"/>
          <w:b w:val="0"/>
          <w:bCs w:val="0"/>
          <w:color w:val="auto"/>
          <w:sz w:val="32"/>
          <w:szCs w:val="32"/>
          <w:highlight w:val="none"/>
          <w:lang w:val="en-US" w:eastAsia="zh-CN"/>
        </w:rPr>
        <w:t>。</w:t>
      </w:r>
    </w:p>
    <w:p w14:paraId="6CD2158F">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5.磋商地点：梓潼县人民医院办公楼三楼会议室。</w:t>
      </w:r>
    </w:p>
    <w:p w14:paraId="2B529D50">
      <w:pPr>
        <w:spacing w:line="500" w:lineRule="exact"/>
        <w:ind w:firstLine="643"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lang w:val="en-US" w:eastAsia="zh-CN"/>
        </w:rPr>
        <w:t>七</w:t>
      </w:r>
      <w:r>
        <w:rPr>
          <w:rFonts w:hint="eastAsia" w:ascii="仿宋" w:hAnsi="仿宋" w:eastAsia="仿宋" w:cs="仿宋"/>
          <w:b/>
          <w:bCs/>
          <w:color w:val="auto"/>
          <w:sz w:val="32"/>
          <w:szCs w:val="32"/>
          <w:highlight w:val="none"/>
        </w:rPr>
        <w:t>、评审方法：</w:t>
      </w:r>
      <w:r>
        <w:rPr>
          <w:rFonts w:hint="eastAsia" w:ascii="仿宋" w:hAnsi="仿宋" w:eastAsia="仿宋" w:cs="仿宋"/>
          <w:b w:val="0"/>
          <w:bCs w:val="0"/>
          <w:color w:val="auto"/>
          <w:sz w:val="32"/>
          <w:szCs w:val="32"/>
          <w:highlight w:val="none"/>
        </w:rPr>
        <w:t>综合评分法</w:t>
      </w:r>
      <w:r>
        <w:rPr>
          <w:rFonts w:hint="eastAsia" w:ascii="仿宋" w:hAnsi="仿宋" w:eastAsia="仿宋" w:cs="仿宋"/>
          <w:b w:val="0"/>
          <w:bCs w:val="0"/>
          <w:color w:val="auto"/>
          <w:sz w:val="32"/>
          <w:szCs w:val="32"/>
          <w:highlight w:val="none"/>
          <w:lang w:eastAsia="zh-CN"/>
        </w:rPr>
        <w:t>。</w:t>
      </w:r>
    </w:p>
    <w:p w14:paraId="1A1B35A8">
      <w:pPr>
        <w:spacing w:line="50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八、成交通知书的发放</w:t>
      </w:r>
    </w:p>
    <w:p w14:paraId="636FF96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我院向本项目成交单位发出成交通知书，成交单位须在30日内与我院签订合同。</w:t>
      </w:r>
    </w:p>
    <w:p w14:paraId="0F4796D0">
      <w:pPr>
        <w:spacing w:line="500" w:lineRule="exact"/>
        <w:ind w:firstLine="643"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九、联系方式</w:t>
      </w:r>
      <w:r>
        <w:rPr>
          <w:rFonts w:hint="eastAsia" w:ascii="仿宋" w:hAnsi="仿宋" w:eastAsia="仿宋" w:cs="仿宋"/>
          <w:b w:val="0"/>
          <w:bCs w:val="0"/>
          <w:color w:val="auto"/>
          <w:sz w:val="32"/>
          <w:szCs w:val="32"/>
          <w:highlight w:val="none"/>
          <w:lang w:val="en-US" w:eastAsia="zh-CN"/>
        </w:rPr>
        <w:t>：</w:t>
      </w:r>
    </w:p>
    <w:p w14:paraId="0403FC71">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地    址：梓潼县文昌镇金牛路中段200号</w:t>
      </w:r>
    </w:p>
    <w:p w14:paraId="11AEF2EA">
      <w:pPr>
        <w:spacing w:line="500" w:lineRule="exact"/>
        <w:ind w:firstLine="640"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 系 人：杨先生</w:t>
      </w:r>
    </w:p>
    <w:p w14:paraId="31D824F7">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联系电话：0816-8212147</w:t>
      </w:r>
    </w:p>
    <w:p w14:paraId="33F25E0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监 督 人：周女士</w:t>
      </w:r>
    </w:p>
    <w:p w14:paraId="0D57E2D2">
      <w:pPr>
        <w:spacing w:line="500" w:lineRule="exact"/>
        <w:ind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联系电话：0816-8223568</w:t>
      </w:r>
    </w:p>
    <w:p w14:paraId="711A1A19">
      <w:pPr>
        <w:spacing w:line="500" w:lineRule="exact"/>
        <w:ind w:firstLine="640" w:firstLineChars="200"/>
        <w:rPr>
          <w:rFonts w:hint="default" w:ascii="仿宋" w:hAnsi="仿宋" w:eastAsia="仿宋" w:cs="仿宋"/>
          <w:b w:val="0"/>
          <w:bCs w:val="0"/>
          <w:color w:val="auto"/>
          <w:sz w:val="32"/>
          <w:szCs w:val="32"/>
          <w:highlight w:val="none"/>
          <w:lang w:val="en-US" w:eastAsia="zh-CN"/>
        </w:rPr>
      </w:pPr>
    </w:p>
    <w:p w14:paraId="5E18FBAA">
      <w:pPr>
        <w:spacing w:line="360" w:lineRule="auto"/>
        <w:jc w:val="left"/>
        <w:rPr>
          <w:rFonts w:hint="eastAsia" w:ascii="仿宋" w:hAnsi="仿宋" w:eastAsia="仿宋" w:cs="仿宋"/>
          <w:b w:val="0"/>
          <w:bCs w:val="0"/>
          <w:color w:val="auto"/>
          <w:sz w:val="32"/>
          <w:szCs w:val="32"/>
          <w:highlight w:val="none"/>
        </w:rPr>
      </w:pPr>
    </w:p>
    <w:p w14:paraId="0DA383F7">
      <w:pPr>
        <w:spacing w:line="360" w:lineRule="auto"/>
        <w:jc w:val="left"/>
        <w:rPr>
          <w:rFonts w:hint="eastAsia" w:ascii="楷体" w:hAnsi="楷体" w:eastAsia="楷体" w:cs="楷体"/>
          <w:b/>
          <w:bCs/>
          <w:color w:val="auto"/>
          <w:szCs w:val="24"/>
          <w:highlight w:val="none"/>
        </w:rPr>
      </w:pPr>
    </w:p>
    <w:p w14:paraId="2BFB666C">
      <w:pPr>
        <w:spacing w:line="360" w:lineRule="auto"/>
        <w:jc w:val="left"/>
        <w:rPr>
          <w:rFonts w:hint="eastAsia" w:ascii="楷体" w:hAnsi="楷体" w:eastAsia="楷体" w:cs="楷体"/>
          <w:b/>
          <w:bCs/>
          <w:color w:val="auto"/>
          <w:szCs w:val="24"/>
          <w:highlight w:val="none"/>
        </w:rPr>
      </w:pPr>
    </w:p>
    <w:p w14:paraId="1FBFDF51">
      <w:pPr>
        <w:spacing w:line="360" w:lineRule="auto"/>
        <w:jc w:val="left"/>
        <w:rPr>
          <w:rFonts w:hint="eastAsia" w:ascii="楷体" w:hAnsi="楷体" w:eastAsia="楷体" w:cs="楷体"/>
          <w:b/>
          <w:bCs/>
          <w:color w:val="auto"/>
          <w:szCs w:val="24"/>
          <w:highlight w:val="none"/>
        </w:rPr>
      </w:pPr>
    </w:p>
    <w:p w14:paraId="039A76A5">
      <w:pPr>
        <w:spacing w:line="360" w:lineRule="auto"/>
        <w:jc w:val="left"/>
        <w:rPr>
          <w:rFonts w:hint="eastAsia" w:ascii="楷体" w:hAnsi="楷体" w:eastAsia="楷体" w:cs="楷体"/>
          <w:b/>
          <w:bCs/>
          <w:color w:val="auto"/>
          <w:szCs w:val="24"/>
          <w:highlight w:val="none"/>
        </w:rPr>
      </w:pPr>
    </w:p>
    <w:p w14:paraId="77C07815">
      <w:pPr>
        <w:spacing w:line="360" w:lineRule="auto"/>
        <w:jc w:val="left"/>
        <w:rPr>
          <w:rFonts w:hint="eastAsia" w:ascii="楷体" w:hAnsi="楷体" w:eastAsia="楷体" w:cs="楷体"/>
          <w:b/>
          <w:bCs/>
          <w:color w:val="auto"/>
          <w:szCs w:val="24"/>
          <w:highlight w:val="none"/>
        </w:rPr>
      </w:pPr>
    </w:p>
    <w:p w14:paraId="6C5F88FC">
      <w:pPr>
        <w:spacing w:line="360" w:lineRule="auto"/>
        <w:jc w:val="left"/>
        <w:rPr>
          <w:rFonts w:hint="eastAsia" w:ascii="楷体" w:hAnsi="楷体" w:eastAsia="楷体" w:cs="楷体"/>
          <w:b/>
          <w:bCs/>
          <w:color w:val="auto"/>
          <w:szCs w:val="24"/>
          <w:highlight w:val="none"/>
        </w:rPr>
      </w:pPr>
    </w:p>
    <w:p w14:paraId="7DA48015">
      <w:pPr>
        <w:spacing w:line="360" w:lineRule="auto"/>
        <w:jc w:val="left"/>
        <w:rPr>
          <w:rFonts w:hint="eastAsia" w:ascii="楷体" w:hAnsi="楷体" w:eastAsia="楷体" w:cs="楷体"/>
          <w:b/>
          <w:bCs/>
          <w:color w:val="auto"/>
          <w:szCs w:val="24"/>
          <w:highlight w:val="none"/>
        </w:rPr>
      </w:pPr>
    </w:p>
    <w:p w14:paraId="3C881050">
      <w:pPr>
        <w:spacing w:line="360" w:lineRule="auto"/>
        <w:jc w:val="left"/>
        <w:rPr>
          <w:rFonts w:hint="eastAsia" w:ascii="楷体" w:hAnsi="楷体" w:eastAsia="楷体" w:cs="楷体"/>
          <w:b/>
          <w:bCs/>
          <w:color w:val="auto"/>
          <w:szCs w:val="24"/>
          <w:highlight w:val="none"/>
        </w:rPr>
      </w:pPr>
    </w:p>
    <w:p w14:paraId="396F41B3">
      <w:pPr>
        <w:spacing w:line="360" w:lineRule="auto"/>
        <w:jc w:val="left"/>
        <w:rPr>
          <w:rFonts w:hint="eastAsia" w:ascii="楷体" w:hAnsi="楷体" w:eastAsia="楷体" w:cs="楷体"/>
          <w:b/>
          <w:bCs/>
          <w:color w:val="auto"/>
          <w:szCs w:val="24"/>
          <w:highlight w:val="none"/>
        </w:rPr>
      </w:pPr>
    </w:p>
    <w:p w14:paraId="6E003C08">
      <w:pPr>
        <w:spacing w:line="360" w:lineRule="auto"/>
        <w:jc w:val="left"/>
        <w:rPr>
          <w:rFonts w:hint="eastAsia" w:ascii="楷体" w:hAnsi="楷体" w:eastAsia="楷体" w:cs="楷体"/>
          <w:b/>
          <w:bCs/>
          <w:color w:val="auto"/>
          <w:szCs w:val="24"/>
          <w:highlight w:val="none"/>
        </w:rPr>
      </w:pPr>
    </w:p>
    <w:p w14:paraId="694178B4">
      <w:pPr>
        <w:spacing w:line="360" w:lineRule="auto"/>
        <w:jc w:val="left"/>
        <w:rPr>
          <w:rFonts w:hint="eastAsia" w:ascii="楷体" w:hAnsi="楷体" w:eastAsia="楷体" w:cs="楷体"/>
          <w:b/>
          <w:bCs/>
          <w:color w:val="auto"/>
          <w:szCs w:val="24"/>
          <w:highlight w:val="none"/>
        </w:rPr>
      </w:pPr>
    </w:p>
    <w:p w14:paraId="3B597461">
      <w:pPr>
        <w:spacing w:line="360" w:lineRule="auto"/>
        <w:jc w:val="left"/>
        <w:rPr>
          <w:rFonts w:hint="eastAsia" w:ascii="楷体" w:hAnsi="楷体" w:eastAsia="楷体" w:cs="楷体"/>
          <w:b/>
          <w:bCs/>
          <w:color w:val="auto"/>
          <w:szCs w:val="24"/>
          <w:highlight w:val="none"/>
        </w:rPr>
      </w:pPr>
    </w:p>
    <w:p w14:paraId="2C751910">
      <w:pPr>
        <w:spacing w:line="360" w:lineRule="auto"/>
        <w:jc w:val="left"/>
        <w:rPr>
          <w:rFonts w:hint="eastAsia" w:ascii="楷体" w:hAnsi="楷体" w:eastAsia="楷体" w:cs="楷体"/>
          <w:b/>
          <w:bCs/>
          <w:color w:val="auto"/>
          <w:szCs w:val="24"/>
          <w:highlight w:val="none"/>
        </w:rPr>
      </w:pPr>
    </w:p>
    <w:p w14:paraId="2BBED0B6">
      <w:pPr>
        <w:spacing w:line="360" w:lineRule="auto"/>
        <w:jc w:val="left"/>
        <w:rPr>
          <w:rFonts w:hint="eastAsia" w:ascii="楷体" w:hAnsi="楷体" w:eastAsia="楷体" w:cs="楷体"/>
          <w:b/>
          <w:bCs/>
          <w:color w:val="auto"/>
          <w:szCs w:val="24"/>
          <w:highlight w:val="none"/>
        </w:rPr>
      </w:pPr>
    </w:p>
    <w:p w14:paraId="34C78B93">
      <w:pPr>
        <w:spacing w:line="360" w:lineRule="auto"/>
        <w:jc w:val="left"/>
        <w:rPr>
          <w:rFonts w:hint="eastAsia" w:ascii="楷体" w:hAnsi="楷体" w:eastAsia="楷体" w:cs="楷体"/>
          <w:b/>
          <w:bCs/>
          <w:color w:val="auto"/>
          <w:szCs w:val="24"/>
          <w:highlight w:val="none"/>
        </w:rPr>
      </w:pPr>
    </w:p>
    <w:p w14:paraId="6CD83805">
      <w:pPr>
        <w:pStyle w:val="2"/>
        <w:rPr>
          <w:rFonts w:hint="eastAsia" w:ascii="楷体" w:hAnsi="楷体" w:eastAsia="楷体" w:cs="楷体"/>
          <w:b/>
          <w:bCs/>
          <w:color w:val="auto"/>
          <w:szCs w:val="24"/>
          <w:highlight w:val="none"/>
        </w:rPr>
      </w:pPr>
    </w:p>
    <w:p w14:paraId="05BC9534">
      <w:pPr>
        <w:rPr>
          <w:rFonts w:hint="eastAsia"/>
          <w:highlight w:val="none"/>
        </w:rPr>
      </w:pPr>
    </w:p>
    <w:p w14:paraId="3A7F88A0">
      <w:pPr>
        <w:jc w:val="center"/>
        <w:rPr>
          <w:rFonts w:hint="eastAsia" w:ascii="宋体" w:hAnsi="宋体" w:eastAsia="宋体" w:cs="宋体"/>
          <w:b/>
          <w:bCs/>
          <w:color w:val="auto"/>
          <w:sz w:val="36"/>
          <w:highlight w:val="none"/>
          <w:lang w:val="en-US" w:eastAsia="zh-CN"/>
        </w:rPr>
      </w:pPr>
      <w:r>
        <w:rPr>
          <w:rFonts w:hint="eastAsia" w:ascii="宋体" w:hAnsi="宋体" w:eastAsia="宋体" w:cs="宋体"/>
          <w:b/>
          <w:bCs/>
          <w:color w:val="auto"/>
          <w:sz w:val="36"/>
          <w:highlight w:val="none"/>
          <w:lang w:val="en-US" w:eastAsia="zh-CN"/>
        </w:rPr>
        <w:t xml:space="preserve"> </w:t>
      </w:r>
      <w:bookmarkStart w:id="0" w:name="_Toc15803"/>
      <w:bookmarkStart w:id="1" w:name="_Toc11528"/>
      <w:bookmarkStart w:id="2" w:name="_Toc10020"/>
      <w:bookmarkStart w:id="3" w:name="_Toc1970"/>
      <w:bookmarkStart w:id="4" w:name="_Toc32095_WPSOffice_Level1"/>
      <w:bookmarkStart w:id="5" w:name="_Toc29420"/>
      <w:r>
        <w:rPr>
          <w:rFonts w:hint="eastAsia" w:ascii="宋体" w:hAnsi="宋体" w:eastAsia="宋体" w:cs="宋体"/>
          <w:b/>
          <w:bCs/>
          <w:color w:val="auto"/>
          <w:sz w:val="36"/>
          <w:highlight w:val="none"/>
          <w:lang w:val="en-US" w:eastAsia="zh-CN"/>
        </w:rPr>
        <w:t>第二章 采购项目技术、服务、采购合同内容条款及其他商务要求</w:t>
      </w:r>
      <w:bookmarkEnd w:id="0"/>
      <w:bookmarkEnd w:id="1"/>
      <w:bookmarkEnd w:id="2"/>
      <w:bookmarkEnd w:id="3"/>
      <w:bookmarkEnd w:id="4"/>
      <w:bookmarkEnd w:id="5"/>
    </w:p>
    <w:p w14:paraId="65F142E0">
      <w:pPr>
        <w:pStyle w:val="2"/>
        <w:spacing w:line="360" w:lineRule="auto"/>
        <w:rPr>
          <w:rFonts w:ascii="仿宋" w:hAnsi="仿宋" w:eastAsia="仿宋" w:cs="仿宋"/>
          <w:sz w:val="32"/>
          <w:szCs w:val="32"/>
          <w:highlight w:val="none"/>
        </w:rPr>
      </w:pPr>
      <w:bookmarkStart w:id="6" w:name="_Toc18041"/>
      <w:bookmarkStart w:id="7" w:name="_Toc6865"/>
      <w:bookmarkStart w:id="8" w:name="_Toc16320"/>
      <w:bookmarkStart w:id="9" w:name="_Toc23896"/>
      <w:bookmarkStart w:id="10" w:name="_Toc14767"/>
      <w:bookmarkStart w:id="11" w:name="_Toc6922"/>
      <w:bookmarkStart w:id="12" w:name="_Toc3220"/>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sz w:val="32"/>
          <w:szCs w:val="32"/>
          <w:highlight w:val="none"/>
        </w:rPr>
        <w:t>项目内容</w:t>
      </w:r>
      <w:r>
        <w:rPr>
          <w:rFonts w:hint="eastAsia" w:ascii="仿宋" w:hAnsi="仿宋" w:eastAsia="仿宋" w:cs="仿宋"/>
          <w:sz w:val="32"/>
          <w:szCs w:val="32"/>
          <w:highlight w:val="none"/>
        </w:rPr>
        <w:t>：</w:t>
      </w:r>
    </w:p>
    <w:p w14:paraId="6DB01BCA">
      <w:pPr>
        <w:pStyle w:val="2"/>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电梯维保服务（数量：</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台）。</w:t>
      </w:r>
    </w:p>
    <w:tbl>
      <w:tblPr>
        <w:tblStyle w:val="16"/>
        <w:tblpPr w:leftFromText="180" w:rightFromText="180" w:vertAnchor="text" w:horzAnchor="page" w:tblpX="1883" w:tblpY="609"/>
        <w:tblOverlap w:val="never"/>
        <w:tblW w:w="8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906"/>
        <w:gridCol w:w="1395"/>
        <w:gridCol w:w="1476"/>
        <w:gridCol w:w="898"/>
        <w:gridCol w:w="1012"/>
        <w:gridCol w:w="1205"/>
        <w:gridCol w:w="931"/>
      </w:tblGrid>
      <w:tr w14:paraId="1B4B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641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序号</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0E3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电梯类别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DCF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制造厂家</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19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型号</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44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额定载重（Kg）</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C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额定速度（m/s）</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BCC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层/站/门</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537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数量（台）</w:t>
            </w:r>
          </w:p>
        </w:tc>
      </w:tr>
      <w:tr w14:paraId="575A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5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F7A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FC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33E4">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BEA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FFFE">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1F48">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91A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1CAE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AE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F93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2E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866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AE9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3D4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A17">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3/3/3</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6404">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8AD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237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24E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187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东南电梯股份有限公司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FCB9">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TBJ1600/1.0-JXW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62F">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ECD6">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eastAsia="zh-CN"/>
              </w:rPr>
            </w:pPr>
            <w:r>
              <w:rPr>
                <w:rFonts w:hint="eastAsia" w:ascii="楷体" w:hAnsi="楷体" w:eastAsia="楷体" w:cs="楷体"/>
                <w:i w:val="0"/>
                <w:iCs w:val="0"/>
                <w:color w:val="auto"/>
                <w:sz w:val="24"/>
                <w:szCs w:val="24"/>
                <w:highlight w:val="none"/>
                <w:u w:val="none"/>
                <w:lang w:val="en-US" w:eastAsia="zh-CN"/>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C05C">
            <w:pPr>
              <w:keepNext w:val="0"/>
              <w:keepLines w:val="0"/>
              <w:widowControl/>
              <w:suppressLineNumbers w:val="0"/>
              <w:jc w:val="center"/>
              <w:textAlignment w:val="center"/>
              <w:rPr>
                <w:rFonts w:hint="default" w:ascii="楷体" w:hAnsi="楷体" w:eastAsia="楷体" w:cs="楷体"/>
                <w:i w:val="0"/>
                <w:iCs w:val="0"/>
                <w:color w:val="auto"/>
                <w:sz w:val="24"/>
                <w:szCs w:val="24"/>
                <w:highlight w:val="none"/>
                <w:u w:val="none"/>
                <w:lang w:val="en-US"/>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E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74E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75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40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738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E3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E6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87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30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C2F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0E2E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487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60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C8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31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955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212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E91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A11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353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040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5EF2">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8DBB">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997A">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57D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5C0">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B52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353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6A13A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600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BA2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7E3E">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ADF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69F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BD1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7D13">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B3B6">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3DD8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629">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B2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64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沃克斯电梯有限公司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1998">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VB1600/1.0-200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961">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E42D">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F6C">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12/12/12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F2F">
            <w:pPr>
              <w:keepNext w:val="0"/>
              <w:keepLines w:val="0"/>
              <w:widowControl/>
              <w:suppressLineNumbers w:val="0"/>
              <w:jc w:val="center"/>
              <w:textAlignment w:val="center"/>
              <w:rPr>
                <w:rFonts w:hint="eastAsia" w:ascii="楷体" w:hAnsi="楷体" w:eastAsia="楷体" w:cs="楷体"/>
                <w:i w:val="0"/>
                <w:iCs w:val="0"/>
                <w:color w:val="auto"/>
                <w:sz w:val="24"/>
                <w:szCs w:val="24"/>
                <w:highlight w:val="none"/>
                <w:u w:val="none"/>
              </w:rPr>
            </w:pPr>
            <w:r>
              <w:rPr>
                <w:rFonts w:hint="eastAsia" w:ascii="楷体" w:hAnsi="楷体" w:eastAsia="楷体" w:cs="楷体"/>
                <w:i w:val="0"/>
                <w:iCs w:val="0"/>
                <w:color w:val="auto"/>
                <w:kern w:val="0"/>
                <w:sz w:val="24"/>
                <w:szCs w:val="24"/>
                <w:highlight w:val="none"/>
                <w:u w:val="none"/>
                <w:lang w:val="en-US" w:eastAsia="zh-CN" w:bidi="ar"/>
              </w:rPr>
              <w:t>1</w:t>
            </w:r>
          </w:p>
        </w:tc>
      </w:tr>
      <w:tr w14:paraId="7314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7D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DD4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3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B6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0A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4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D75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A89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6E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2D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34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1A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311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A4D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8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7A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B63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B0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973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11</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1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87C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65E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24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7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30E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B61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7D37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E36">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430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09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7D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46F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0D4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29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E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842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6FEC">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B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D68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DC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048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0AA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0.5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49DE">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B5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304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469E">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8C0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ACE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EDC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8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BD6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9B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2/2/2</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73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487D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E46D">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9E0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31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4F4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13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165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4FB4">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A20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44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3C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9E6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F24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52B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4C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088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B00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07EF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A7B">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EB7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0D2B">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威特科技中国有限公司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ED1A">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TBJ</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0F8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0CD">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1.75</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988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8/8/8</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1EE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3CA1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5FF">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18</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79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BAB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165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B2F1">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721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A288">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56D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1A34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38E9">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19</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87D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3E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DC3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447">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AE60">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0BFC">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28F">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r w14:paraId="2E76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4D47">
            <w:pPr>
              <w:keepNext w:val="0"/>
              <w:keepLines w:val="0"/>
              <w:widowControl/>
              <w:suppressLineNumbers w:val="0"/>
              <w:jc w:val="center"/>
              <w:textAlignment w:val="center"/>
              <w:rPr>
                <w:rFonts w:hint="default"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068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曳引电梯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23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西南富士电梯有限公司</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F69">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XKB</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8B15">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CC46">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24E3">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4/4/4</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0B52">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r>
    </w:tbl>
    <w:p w14:paraId="06688455">
      <w:pPr>
        <w:pStyle w:val="2"/>
        <w:spacing w:line="360" w:lineRule="auto"/>
        <w:rPr>
          <w:rFonts w:ascii="仿宋" w:hAnsi="仿宋" w:eastAsia="仿宋" w:cs="仿宋"/>
          <w:b/>
          <w:bCs/>
          <w:sz w:val="32"/>
          <w:szCs w:val="32"/>
          <w:highlight w:val="none"/>
        </w:rPr>
      </w:pPr>
      <w:r>
        <w:rPr>
          <w:rFonts w:hint="eastAsia" w:ascii="仿宋" w:hAnsi="仿宋" w:eastAsia="仿宋" w:cs="仿宋"/>
          <w:b/>
          <w:bCs/>
          <w:sz w:val="32"/>
          <w:szCs w:val="32"/>
          <w:highlight w:val="none"/>
        </w:rPr>
        <w:t>二、技术规范及服务要求：</w:t>
      </w:r>
    </w:p>
    <w:p w14:paraId="6B84079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1、供应商派专业技术人员，按照《电梯维护保养规则（TSG T5002-2017）》的要求，分别完成半月、月、季度、半年和年保养的全部项目，对设备进行调整、检查、润滑、清洁等维护保养工作，以保持设备的正常运行，不得带故障运行。并做好维护保养记录。</w:t>
      </w:r>
    </w:p>
    <w:p w14:paraId="1B36B88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2、供应商发现设备存在安全隐患时，应立即通知采购人，必要时可以停止使用，并在显眼位置张贴或摆放故障标识。</w:t>
      </w:r>
    </w:p>
    <w:p w14:paraId="5DB10A4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3、供应商每次保养前必须通知采购人的现场负责人，取得其同意后方可进行保养工作。停止设备运行维修保养时，必须有明显的检修标志。（提供承诺函并加盖供应商单位公章）</w:t>
      </w:r>
    </w:p>
    <w:p w14:paraId="55C95A2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4、每次保养或者急修后供应商应列出维修保养项目单，由采购人指定人员签字认可，双方各留存一份，作为提供给（质检局和特监所）对该设备随时抽查和年检时的必备资料。</w:t>
      </w:r>
    </w:p>
    <w:p w14:paraId="5D5F6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供应商配置至少1名有相应维修资质的工程技术人员常驻县域，以便及时响应。提供24小时应急处理。接到报修后白天（07:00—19:00）20分钟内到达现场，夜间（19:00-07:00）30分钟内到达现场，电梯困人20分钟内到达现场。（提供承诺函、驻场工作人员有效的中华人民共和国特种设备作业人员资格证书（T证）复印件并加盖供应商单位公章）</w:t>
      </w:r>
    </w:p>
    <w:p w14:paraId="193326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项目服务期内，驻场维保人员原则上应保持不变，若驻场维保人员辞职，供应商应至少提前一个月告知采购人（并提供离职证明等相关资料）；若供应商对本项目驻场维保人员进行内部工作调动，必须经采购人同意后方可执行。</w:t>
      </w:r>
    </w:p>
    <w:p w14:paraId="357A6441">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7、项目服务期内，供应商负责申报定期安全检验，并取得《特种设备使用标志》，检验所需费用由采购人承担。</w:t>
      </w:r>
    </w:p>
    <w:p w14:paraId="1A2CE66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8、供应商保证定期检验合格，否则承担复检的一切费用，直至合格为止。（提供承诺函并加盖供应商单位公章）</w:t>
      </w:r>
    </w:p>
    <w:p w14:paraId="7FB85F3F">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9、供应商须在原电梯使用合格证到期前一周，将新的检验报告和合格证提交予采购人。</w:t>
      </w:r>
    </w:p>
    <w:p w14:paraId="6B542A8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为提高维修更换效率，供应商需设立本项目备件库，设备备件库设点在供应商备件库处，保证采购人因维修需使用到备件库设备时，4小时内能完成替换，恢复正常使用，备件库清单如下：变压器、光幕、制动电阻、门电机、对讲专用电源、五方对讲、平层感应器。（提供承诺函并加盖供应商单位公章）</w:t>
      </w:r>
    </w:p>
    <w:p w14:paraId="20E8A686">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11、项目服务期内，如设施设备维修需更换零配件，300 元（含）以内的配件更换费用由供应商自行承担。300 元（含）以内的配件清单详见附件1。除附件1以外的配件需更换，供应商需立即提交书面报告给采购人，由采购人负责配件的购买，供应商并有义务协助采购人购买有关材料及鉴定购买材料的品质，且不能另收费用。配件买回之后的安装及电梯调试、修复等工作由供应商负责。如采购人在供应商处购买的配件，则被更换配件在质保期内损坏再更换的费用由供应商承担。（提供承诺备件单价为项目所在地的最低价的承诺函并加盖供应商单位公章）</w:t>
      </w:r>
    </w:p>
    <w:p w14:paraId="500443C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12、如电梯损坏或发生意外，驻场的维修人员不具备技术能力即时处理时，供应商需在1小时内派资深维修人员到场处理，使损坏电梯能12小时内恢复正常运作。如在 12 小时内不能恢复正常（机械故障除外）,供应商立即采用备用控制电路板,电梯配件及时更换,先恢复电梯运行。如该故障在 24 小时内不能修复，供应商应将设备故障以及原因以书面形式告知采购人，并尽快修复。（提供承诺函并加盖供应商单位公章）</w:t>
      </w:r>
    </w:p>
    <w:p w14:paraId="38881DC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13、供应商负责轿厢、机房、监控中心等五方通话连线及通话设备的维保。</w:t>
      </w:r>
    </w:p>
    <w:p w14:paraId="752A01B5">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服务期间，供应商承担维保电梯发生的非人为因素引起的一切事故责任及维保过程中的施工安全责任。未经采购人允许，供应商不得带领无关人员进入电梯机房、轿顶及底坑，由此发生的一切安全责任由供应商自行承担。</w:t>
      </w:r>
    </w:p>
    <w:p w14:paraId="0AF97D9D">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15、负责采购人的电梯应急救援工作。</w:t>
      </w:r>
    </w:p>
    <w:p w14:paraId="7072E839">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16、负责协助使用单位进行应急演练、电梯临时管控等工作。</w:t>
      </w:r>
    </w:p>
    <w:p w14:paraId="162BBC9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17、电梯维保原则：维保过程中必须确保每栋楼有一部电梯能正常运行，维修保养时间错开上下班高峰期进行。</w:t>
      </w:r>
    </w:p>
    <w:p w14:paraId="31A7B181">
      <w:pPr>
        <w:numPr>
          <w:ilvl w:val="0"/>
          <w:numId w:val="0"/>
        </w:numPr>
        <w:spacing w:line="360" w:lineRule="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三、商务要求及其他：</w:t>
      </w:r>
    </w:p>
    <w:p w14:paraId="2A6274A8">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1、服务期限：3年。</w:t>
      </w:r>
    </w:p>
    <w:p w14:paraId="0F61F7C3">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2、验收方式:成交供应商与采购人参照《财政部关于进一步加强政府采购需求和履约验收管理的指导意见》(财库〔2016〕205 号)的要求进行验收。</w:t>
      </w:r>
    </w:p>
    <w:p w14:paraId="0C084AE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3、付款方式： </w:t>
      </w:r>
    </w:p>
    <w:p w14:paraId="5ECAF4CB">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3.1、即签订合同半年后支付年度维保金额的50%，一年后再支付年度维保费50%。 </w:t>
      </w:r>
    </w:p>
    <w:p w14:paraId="2A70D3B2">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3.2、首年度未满一年的，根据报价分月折算，按照实际服务月份结算。 </w:t>
      </w:r>
    </w:p>
    <w:p w14:paraId="34B815E7">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3.3、付款前，供应商须向采购人出具合法有效的完税发票及凭证资料进行支付结算，供应商未履行本条义务的，采购人有权延迟付款且不承担违约责任。</w:t>
      </w:r>
    </w:p>
    <w:p w14:paraId="0F389B10">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4、报价要求：供应商报价包含设备维修保养所发生的人工费、差旅费、工具费、保险费及价格在人民币300元/件（含人民币300元）以下的配件费等一切与维修、保养有关的费用。</w:t>
      </w:r>
    </w:p>
    <w:p w14:paraId="2DAFA77E">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5、违约责任 </w:t>
      </w:r>
    </w:p>
    <w:p w14:paraId="010DCB3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5.1、因供应商维保或电梯本身问题（供应商未及时告知采购人的情况下）等原因造成电梯事故（冲顶或蹲底等）责任由供应商承担，采购人除有权单方无条件终止合同外，还有权要求供应商支付年度合同总金额10%的违约金。 </w:t>
      </w:r>
    </w:p>
    <w:p w14:paraId="48DDAEAC">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5.2、如经特种设备监督部门或其他权威部门检查或鉴定电梯存在运行安全等问题（供应商未及时告知采购人的情况下），检测出的一般安全隐患采购人有权按照1000元/次扣款，重大安全隐患供应商应按照3000元/次扣款。 </w:t>
      </w:r>
    </w:p>
    <w:p w14:paraId="78D6114A">
      <w:pPr>
        <w:numPr>
          <w:ilvl w:val="0"/>
          <w:numId w:val="0"/>
        </w:numPr>
        <w:spacing w:line="360" w:lineRule="auto"/>
        <w:ind w:lef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5.3、在电梯年检到期前未取得电梯使用合格证，扣除当年服务费10%。</w:t>
      </w:r>
    </w:p>
    <w:p w14:paraId="59A788CD">
      <w:pPr>
        <w:pStyle w:val="6"/>
        <w:rPr>
          <w:rFonts w:hint="eastAsia"/>
          <w:highlight w:val="none"/>
        </w:rPr>
      </w:pPr>
      <w:r>
        <w:rPr>
          <w:rFonts w:hint="eastAsia"/>
          <w:highlight w:val="none"/>
        </w:rPr>
        <w:t>附件1:电梯常用 300 元（含）以内配件清单</w:t>
      </w:r>
    </w:p>
    <w:tbl>
      <w:tblPr>
        <w:tblStyle w:val="17"/>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30"/>
        <w:gridCol w:w="5637"/>
        <w:gridCol w:w="1192"/>
      </w:tblGrid>
      <w:tr w14:paraId="3233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0" w:type="dxa"/>
            <w:vAlign w:val="center"/>
          </w:tcPr>
          <w:p w14:paraId="3A612B8E">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序号</w:t>
            </w:r>
          </w:p>
        </w:tc>
        <w:tc>
          <w:tcPr>
            <w:tcW w:w="830" w:type="dxa"/>
            <w:vAlign w:val="center"/>
          </w:tcPr>
          <w:p w14:paraId="444DDAFA">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位置</w:t>
            </w:r>
          </w:p>
        </w:tc>
        <w:tc>
          <w:tcPr>
            <w:tcW w:w="5637" w:type="dxa"/>
            <w:vAlign w:val="center"/>
          </w:tcPr>
          <w:p w14:paraId="0153E87E">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rPr>
              <w:t>配件名称</w:t>
            </w:r>
          </w:p>
        </w:tc>
        <w:tc>
          <w:tcPr>
            <w:tcW w:w="1192" w:type="dxa"/>
            <w:vAlign w:val="center"/>
          </w:tcPr>
          <w:p w14:paraId="6B7EB315">
            <w:pPr>
              <w:pStyle w:val="2"/>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备注</w:t>
            </w:r>
          </w:p>
        </w:tc>
      </w:tr>
      <w:tr w14:paraId="311A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80" w:type="dxa"/>
            <w:vAlign w:val="center"/>
          </w:tcPr>
          <w:p w14:paraId="7D18844F">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1</w:t>
            </w:r>
          </w:p>
        </w:tc>
        <w:tc>
          <w:tcPr>
            <w:tcW w:w="830" w:type="dxa"/>
            <w:vAlign w:val="center"/>
          </w:tcPr>
          <w:p w14:paraId="130E8AF2">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机房</w:t>
            </w:r>
          </w:p>
        </w:tc>
        <w:tc>
          <w:tcPr>
            <w:tcW w:w="5637" w:type="dxa"/>
            <w:vAlign w:val="center"/>
          </w:tcPr>
          <w:p w14:paraId="15921F75">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厅门继电器、安全继电器、消防继电器、其它小型继电器、照明空气开关、抱闸扳手、各种保险、曳引机O型圈、蜗杆油封、联轴橡胶、各类插头/插座、电源盒。</w:t>
            </w:r>
          </w:p>
        </w:tc>
        <w:tc>
          <w:tcPr>
            <w:tcW w:w="1192" w:type="dxa"/>
          </w:tcPr>
          <w:p w14:paraId="3D39FE35">
            <w:pPr>
              <w:pStyle w:val="2"/>
              <w:rPr>
                <w:rFonts w:hint="eastAsia" w:ascii="仿宋" w:hAnsi="仿宋" w:eastAsia="仿宋" w:cs="仿宋"/>
                <w:color w:val="auto"/>
                <w:sz w:val="32"/>
                <w:szCs w:val="32"/>
                <w:highlight w:val="none"/>
                <w:vertAlign w:val="baseline"/>
                <w:lang w:val="en-US" w:eastAsia="zh-CN"/>
              </w:rPr>
            </w:pPr>
          </w:p>
        </w:tc>
      </w:tr>
      <w:tr w14:paraId="0325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80" w:type="dxa"/>
            <w:vAlign w:val="center"/>
          </w:tcPr>
          <w:p w14:paraId="5FB4A9F5">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2</w:t>
            </w:r>
          </w:p>
        </w:tc>
        <w:tc>
          <w:tcPr>
            <w:tcW w:w="830" w:type="dxa"/>
            <w:vAlign w:val="center"/>
          </w:tcPr>
          <w:p w14:paraId="2900F0F0">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轿厢</w:t>
            </w:r>
          </w:p>
        </w:tc>
        <w:tc>
          <w:tcPr>
            <w:tcW w:w="5637" w:type="dxa"/>
            <w:vAlign w:val="center"/>
          </w:tcPr>
          <w:p w14:paraId="0220749F">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安全窗开关、安全触板开关、安全触板开关线、安全钳开关、光电开关线、超载开关、检修开关、方向灯泡、轿门滑块、报警蜂鸣 器、导靴衬片、操纵盘锁、直驶按钮、门刀轮、门机凸轮开关、轿内检修盒开关、照明镇流器、轿门开关、应急灯泡、检修灯座、 油盒毡垫、内外呼梯按钮。</w:t>
            </w:r>
          </w:p>
        </w:tc>
        <w:tc>
          <w:tcPr>
            <w:tcW w:w="1192" w:type="dxa"/>
          </w:tcPr>
          <w:p w14:paraId="7284B1F9">
            <w:pPr>
              <w:pStyle w:val="2"/>
              <w:rPr>
                <w:rFonts w:hint="eastAsia" w:ascii="仿宋" w:hAnsi="仿宋" w:eastAsia="仿宋" w:cs="仿宋"/>
                <w:color w:val="auto"/>
                <w:sz w:val="32"/>
                <w:szCs w:val="32"/>
                <w:highlight w:val="none"/>
                <w:vertAlign w:val="baseline"/>
                <w:lang w:val="en-US" w:eastAsia="zh-CN"/>
              </w:rPr>
            </w:pPr>
          </w:p>
        </w:tc>
      </w:tr>
      <w:tr w14:paraId="236B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58DB170">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3</w:t>
            </w:r>
          </w:p>
        </w:tc>
        <w:tc>
          <w:tcPr>
            <w:tcW w:w="830" w:type="dxa"/>
            <w:vAlign w:val="center"/>
          </w:tcPr>
          <w:p w14:paraId="1E47ACAD">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厅门</w:t>
            </w:r>
          </w:p>
        </w:tc>
        <w:tc>
          <w:tcPr>
            <w:tcW w:w="5637" w:type="dxa"/>
            <w:vAlign w:val="center"/>
          </w:tcPr>
          <w:p w14:paraId="5DB77367">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厅门导靴、厅门三角锁、厅门电缆架、门锁电缆、层显电缆、厅门动触点、厅门静触点、方向灯泡、消防开关、消防开关护片。</w:t>
            </w:r>
          </w:p>
        </w:tc>
        <w:tc>
          <w:tcPr>
            <w:tcW w:w="1192" w:type="dxa"/>
          </w:tcPr>
          <w:p w14:paraId="1EC28317">
            <w:pPr>
              <w:pStyle w:val="2"/>
              <w:rPr>
                <w:rFonts w:hint="eastAsia" w:ascii="仿宋" w:hAnsi="仿宋" w:eastAsia="仿宋" w:cs="仿宋"/>
                <w:color w:val="auto"/>
                <w:sz w:val="32"/>
                <w:szCs w:val="32"/>
                <w:highlight w:val="none"/>
                <w:vertAlign w:val="baseline"/>
                <w:lang w:val="en-US" w:eastAsia="zh-CN"/>
              </w:rPr>
            </w:pPr>
          </w:p>
        </w:tc>
      </w:tr>
      <w:tr w14:paraId="0BC7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80" w:type="dxa"/>
            <w:vAlign w:val="center"/>
          </w:tcPr>
          <w:p w14:paraId="4A18BFF7">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4</w:t>
            </w:r>
          </w:p>
        </w:tc>
        <w:tc>
          <w:tcPr>
            <w:tcW w:w="830" w:type="dxa"/>
            <w:vAlign w:val="center"/>
          </w:tcPr>
          <w:p w14:paraId="45AEA507">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井道</w:t>
            </w:r>
          </w:p>
        </w:tc>
        <w:tc>
          <w:tcPr>
            <w:tcW w:w="5637" w:type="dxa"/>
            <w:vAlign w:val="center"/>
          </w:tcPr>
          <w:p w14:paraId="792BB619">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外呼终端电阻、对重导靴衬片、油盒毡垫、接线端子、电缆支架、换速开关、接道板(8K)、接道板(13K)、压道板(8K)、压道板(13K)。</w:t>
            </w:r>
          </w:p>
        </w:tc>
        <w:tc>
          <w:tcPr>
            <w:tcW w:w="1192" w:type="dxa"/>
          </w:tcPr>
          <w:p w14:paraId="00831732">
            <w:pPr>
              <w:pStyle w:val="2"/>
              <w:rPr>
                <w:rFonts w:hint="eastAsia" w:ascii="仿宋" w:hAnsi="仿宋" w:eastAsia="仿宋" w:cs="仿宋"/>
                <w:color w:val="auto"/>
                <w:sz w:val="32"/>
                <w:szCs w:val="32"/>
                <w:highlight w:val="none"/>
                <w:vertAlign w:val="baseline"/>
                <w:lang w:val="en-US" w:eastAsia="zh-CN"/>
              </w:rPr>
            </w:pPr>
          </w:p>
        </w:tc>
      </w:tr>
      <w:tr w14:paraId="6408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80" w:type="dxa"/>
            <w:vAlign w:val="center"/>
          </w:tcPr>
          <w:p w14:paraId="0E317252">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5</w:t>
            </w:r>
          </w:p>
        </w:tc>
        <w:tc>
          <w:tcPr>
            <w:tcW w:w="830" w:type="dxa"/>
            <w:vAlign w:val="center"/>
          </w:tcPr>
          <w:p w14:paraId="410D28BC">
            <w:pPr>
              <w:pStyle w:val="2"/>
              <w:jc w:val="center"/>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vertAlign w:val="baseline"/>
                <w:lang w:val="en-US" w:eastAsia="zh-CN"/>
              </w:rPr>
              <w:t>底坑</w:t>
            </w:r>
          </w:p>
        </w:tc>
        <w:tc>
          <w:tcPr>
            <w:tcW w:w="5637" w:type="dxa"/>
            <w:vAlign w:val="center"/>
          </w:tcPr>
          <w:p w14:paraId="2A8492C2">
            <w:pPr>
              <w:pStyle w:val="2"/>
              <w:jc w:val="both"/>
              <w:rPr>
                <w:rFonts w:hint="eastAsia" w:ascii="仿宋" w:hAnsi="仿宋" w:eastAsia="仿宋" w:cs="仿宋"/>
                <w:color w:val="auto"/>
                <w:sz w:val="32"/>
                <w:szCs w:val="32"/>
                <w:highlight w:val="none"/>
                <w:vertAlign w:val="baseline"/>
                <w:lang w:val="en-US" w:eastAsia="zh-CN"/>
              </w:rPr>
            </w:pPr>
            <w:r>
              <w:rPr>
                <w:rFonts w:hint="eastAsia" w:ascii="仿宋" w:hAnsi="仿宋" w:eastAsia="仿宋" w:cs="仿宋"/>
                <w:color w:val="auto"/>
                <w:sz w:val="32"/>
                <w:szCs w:val="32"/>
                <w:highlight w:val="none"/>
              </w:rPr>
              <w:t>缓冲器开关、急停按钮、继绳开关、接线盒。</w:t>
            </w:r>
          </w:p>
        </w:tc>
        <w:tc>
          <w:tcPr>
            <w:tcW w:w="1192" w:type="dxa"/>
          </w:tcPr>
          <w:p w14:paraId="1FC5E897">
            <w:pPr>
              <w:pStyle w:val="2"/>
              <w:rPr>
                <w:rFonts w:hint="eastAsia" w:ascii="仿宋" w:hAnsi="仿宋" w:eastAsia="仿宋" w:cs="仿宋"/>
                <w:color w:val="auto"/>
                <w:sz w:val="32"/>
                <w:szCs w:val="32"/>
                <w:highlight w:val="none"/>
                <w:vertAlign w:val="baseline"/>
                <w:lang w:val="en-US" w:eastAsia="zh-CN"/>
              </w:rPr>
            </w:pPr>
          </w:p>
        </w:tc>
      </w:tr>
    </w:tbl>
    <w:p w14:paraId="09004A17">
      <w:pPr>
        <w:rPr>
          <w:rFonts w:hint="eastAsia" w:ascii="宋体" w:hAnsi="宋体" w:eastAsia="宋体" w:cs="宋体"/>
          <w:b/>
          <w:bCs/>
          <w:color w:val="000000"/>
          <w:kern w:val="2"/>
          <w:sz w:val="36"/>
          <w:szCs w:val="32"/>
          <w:highlight w:val="none"/>
          <w:lang w:val="en-US" w:eastAsia="zh-CN" w:bidi="ar-SA"/>
        </w:rPr>
      </w:pPr>
    </w:p>
    <w:p w14:paraId="28FB91C8">
      <w:pPr>
        <w:pStyle w:val="2"/>
        <w:rPr>
          <w:rFonts w:hint="eastAsia" w:ascii="宋体" w:hAnsi="宋体" w:eastAsia="宋体" w:cs="宋体"/>
          <w:b/>
          <w:bCs/>
          <w:color w:val="000000"/>
          <w:kern w:val="2"/>
          <w:sz w:val="36"/>
          <w:szCs w:val="32"/>
          <w:highlight w:val="none"/>
          <w:lang w:val="en-US" w:eastAsia="zh-CN" w:bidi="ar-SA"/>
        </w:rPr>
      </w:pPr>
    </w:p>
    <w:p w14:paraId="17608BFC">
      <w:pPr>
        <w:rPr>
          <w:rFonts w:hint="eastAsia"/>
          <w:highlight w:val="none"/>
          <w:lang w:val="en-US" w:eastAsia="zh-CN"/>
        </w:rPr>
      </w:pPr>
    </w:p>
    <w:p w14:paraId="14F460C4">
      <w:pPr>
        <w:pStyle w:val="2"/>
        <w:rPr>
          <w:rFonts w:hint="eastAsia" w:ascii="宋体" w:hAnsi="宋体" w:eastAsia="宋体" w:cs="宋体"/>
          <w:b/>
          <w:bCs/>
          <w:color w:val="000000"/>
          <w:kern w:val="2"/>
          <w:sz w:val="36"/>
          <w:szCs w:val="32"/>
          <w:highlight w:val="none"/>
          <w:lang w:val="en-US" w:eastAsia="zh-CN" w:bidi="ar-SA"/>
        </w:rPr>
      </w:pPr>
    </w:p>
    <w:p w14:paraId="7C6ACEFA">
      <w:pPr>
        <w:rPr>
          <w:rFonts w:hint="eastAsia"/>
          <w:highlight w:val="none"/>
          <w:lang w:val="en-US" w:eastAsia="zh-CN"/>
        </w:rPr>
      </w:pPr>
    </w:p>
    <w:p w14:paraId="7FE36F17">
      <w:pPr>
        <w:pStyle w:val="2"/>
        <w:rPr>
          <w:rFonts w:hint="eastAsia"/>
          <w:highlight w:val="none"/>
          <w:lang w:val="en-US" w:eastAsia="zh-CN"/>
        </w:rPr>
      </w:pPr>
    </w:p>
    <w:p w14:paraId="420A35B4">
      <w:pPr>
        <w:rPr>
          <w:rFonts w:hint="eastAsia"/>
          <w:highlight w:val="none"/>
          <w:lang w:val="en-US" w:eastAsia="zh-CN"/>
        </w:rPr>
      </w:pPr>
    </w:p>
    <w:p w14:paraId="22BB5B39">
      <w:pPr>
        <w:pStyle w:val="6"/>
        <w:jc w:val="center"/>
        <w:rPr>
          <w:rFonts w:hint="eastAsia" w:ascii="宋体" w:hAnsi="宋体" w:eastAsia="宋体" w:cs="宋体"/>
          <w:b/>
          <w:bCs/>
          <w:color w:val="auto"/>
          <w:kern w:val="2"/>
          <w:sz w:val="36"/>
          <w:szCs w:val="32"/>
          <w:highlight w:val="none"/>
          <w:lang w:val="en-US" w:eastAsia="zh-CN" w:bidi="ar-SA"/>
        </w:rPr>
      </w:pPr>
    </w:p>
    <w:p w14:paraId="65703608">
      <w:pPr>
        <w:rPr>
          <w:rFonts w:hint="eastAsia" w:ascii="宋体" w:hAnsi="宋体" w:eastAsia="宋体" w:cs="宋体"/>
          <w:b/>
          <w:bCs/>
          <w:color w:val="auto"/>
          <w:kern w:val="2"/>
          <w:sz w:val="36"/>
          <w:szCs w:val="32"/>
          <w:highlight w:val="none"/>
          <w:lang w:val="en-US" w:eastAsia="zh-CN" w:bidi="ar-SA"/>
        </w:rPr>
      </w:pPr>
    </w:p>
    <w:p w14:paraId="4A8C1C6D">
      <w:pPr>
        <w:pStyle w:val="2"/>
        <w:rPr>
          <w:rFonts w:hint="eastAsia" w:ascii="宋体" w:hAnsi="宋体" w:eastAsia="宋体" w:cs="宋体"/>
          <w:b/>
          <w:bCs/>
          <w:color w:val="auto"/>
          <w:kern w:val="2"/>
          <w:sz w:val="36"/>
          <w:szCs w:val="32"/>
          <w:highlight w:val="none"/>
          <w:lang w:val="en-US" w:eastAsia="zh-CN" w:bidi="ar-SA"/>
        </w:rPr>
      </w:pPr>
    </w:p>
    <w:p w14:paraId="4026F11D">
      <w:pPr>
        <w:rPr>
          <w:rFonts w:hint="eastAsia"/>
          <w:highlight w:val="none"/>
          <w:lang w:val="en-US" w:eastAsia="zh-CN"/>
        </w:rPr>
      </w:pPr>
    </w:p>
    <w:p w14:paraId="1DB8B01F">
      <w:pPr>
        <w:pStyle w:val="6"/>
        <w:jc w:val="center"/>
        <w:rPr>
          <w:rFonts w:hint="eastAsia"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第三章  响应文件格式</w:t>
      </w:r>
      <w:bookmarkEnd w:id="6"/>
      <w:bookmarkEnd w:id="7"/>
      <w:bookmarkEnd w:id="8"/>
      <w:bookmarkEnd w:id="9"/>
      <w:bookmarkEnd w:id="10"/>
      <w:bookmarkEnd w:id="11"/>
      <w:bookmarkEnd w:id="12"/>
    </w:p>
    <w:p w14:paraId="5343BD8D">
      <w:pPr>
        <w:spacing w:line="360" w:lineRule="auto"/>
        <w:jc w:val="center"/>
        <w:rPr>
          <w:rFonts w:hint="eastAsia" w:ascii="楷体" w:hAnsi="楷体" w:eastAsia="楷体" w:cs="楷体"/>
          <w:color w:val="auto"/>
          <w:szCs w:val="24"/>
          <w:highlight w:val="none"/>
        </w:rPr>
      </w:pPr>
    </w:p>
    <w:p w14:paraId="01ECB777">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梓潼县人民医院</w:t>
      </w:r>
    </w:p>
    <w:p w14:paraId="2A9838AC">
      <w:pPr>
        <w:jc w:val="center"/>
        <w:rPr>
          <w:rFonts w:hint="eastAsia" w:ascii="楷体" w:hAnsi="楷体" w:eastAsia="楷体" w:cs="楷体"/>
          <w:b/>
          <w:bCs/>
          <w:color w:val="auto"/>
          <w:highlight w:val="none"/>
          <w:lang w:eastAsia="zh-CN"/>
        </w:rPr>
      </w:pPr>
      <w:r>
        <w:rPr>
          <w:rFonts w:hint="eastAsia" w:ascii="楷体" w:hAnsi="楷体" w:eastAsia="楷体" w:cs="楷体"/>
          <w:b/>
          <w:bCs/>
          <w:color w:val="auto"/>
          <w:highlight w:val="none"/>
          <w:lang w:eastAsia="zh-CN"/>
        </w:rPr>
        <w:t>电梯维保服务采购项目（第二次）</w:t>
      </w:r>
    </w:p>
    <w:p w14:paraId="3AC1F551">
      <w:pPr>
        <w:jc w:val="center"/>
        <w:rPr>
          <w:rFonts w:hint="eastAsia" w:ascii="楷体" w:hAnsi="楷体" w:eastAsia="楷体" w:cs="楷体"/>
          <w:b/>
          <w:bCs/>
          <w:color w:val="auto"/>
          <w:sz w:val="84"/>
          <w:highlight w:val="none"/>
        </w:rPr>
      </w:pPr>
    </w:p>
    <w:p w14:paraId="627E4F7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响</w:t>
      </w:r>
    </w:p>
    <w:p w14:paraId="6952543B">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应</w:t>
      </w:r>
    </w:p>
    <w:p w14:paraId="01E0CE25">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文</w:t>
      </w:r>
    </w:p>
    <w:p w14:paraId="6BACE344">
      <w:pPr>
        <w:jc w:val="center"/>
        <w:rPr>
          <w:rFonts w:hint="eastAsia" w:ascii="楷体" w:hAnsi="楷体" w:eastAsia="楷体" w:cs="楷体"/>
          <w:b/>
          <w:bCs/>
          <w:color w:val="auto"/>
          <w:sz w:val="84"/>
          <w:highlight w:val="none"/>
        </w:rPr>
      </w:pPr>
      <w:r>
        <w:rPr>
          <w:rFonts w:hint="eastAsia" w:ascii="楷体" w:hAnsi="楷体" w:eastAsia="楷体" w:cs="楷体"/>
          <w:b/>
          <w:bCs/>
          <w:color w:val="auto"/>
          <w:sz w:val="84"/>
          <w:highlight w:val="none"/>
        </w:rPr>
        <w:t>件</w:t>
      </w:r>
    </w:p>
    <w:p w14:paraId="62888337">
      <w:pPr>
        <w:spacing w:line="900" w:lineRule="exact"/>
        <w:ind w:firstLine="1680" w:firstLineChars="200"/>
        <w:jc w:val="center"/>
        <w:rPr>
          <w:rFonts w:hint="eastAsia" w:ascii="楷体" w:hAnsi="楷体" w:eastAsia="楷体" w:cs="楷体"/>
          <w:color w:val="auto"/>
          <w:sz w:val="84"/>
          <w:highlight w:val="none"/>
        </w:rPr>
      </w:pPr>
    </w:p>
    <w:p w14:paraId="345B0F51">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lang w:val="en-US" w:eastAsia="zh-CN"/>
        </w:rPr>
        <w:t>投标</w:t>
      </w:r>
      <w:r>
        <w:rPr>
          <w:rFonts w:hint="eastAsia" w:ascii="楷体" w:hAnsi="楷体" w:eastAsia="楷体" w:cs="楷体"/>
          <w:color w:val="auto"/>
          <w:szCs w:val="24"/>
          <w:highlight w:val="none"/>
        </w:rPr>
        <w:t>供应商(盖章)：</w:t>
      </w:r>
    </w:p>
    <w:p w14:paraId="581CD452">
      <w:pPr>
        <w:spacing w:line="600" w:lineRule="exact"/>
        <w:ind w:firstLine="640" w:firstLineChars="200"/>
        <w:jc w:val="center"/>
        <w:rPr>
          <w:rFonts w:hint="eastAsia" w:ascii="楷体" w:hAnsi="楷体" w:eastAsia="楷体" w:cs="楷体"/>
          <w:color w:val="auto"/>
          <w:szCs w:val="24"/>
          <w:highlight w:val="none"/>
        </w:rPr>
      </w:pPr>
    </w:p>
    <w:p w14:paraId="16E11035">
      <w:pPr>
        <w:spacing w:line="600" w:lineRule="exact"/>
        <w:ind w:firstLine="960" w:firstLineChars="300"/>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法定代表人（负责人）或委托代理人(签字)：</w:t>
      </w:r>
    </w:p>
    <w:p w14:paraId="223C01AD">
      <w:pPr>
        <w:spacing w:line="600" w:lineRule="exact"/>
        <w:rPr>
          <w:rFonts w:hint="eastAsia" w:ascii="楷体" w:hAnsi="楷体" w:eastAsia="楷体" w:cs="楷体"/>
          <w:color w:val="auto"/>
          <w:szCs w:val="24"/>
          <w:highlight w:val="none"/>
        </w:rPr>
      </w:pPr>
    </w:p>
    <w:p w14:paraId="08A957C6">
      <w:pPr>
        <w:spacing w:line="600" w:lineRule="exact"/>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日  期：</w:t>
      </w:r>
      <w:r>
        <w:rPr>
          <w:rFonts w:hint="eastAsia" w:ascii="楷体" w:hAnsi="楷体" w:eastAsia="楷体" w:cs="楷体"/>
          <w:color w:val="auto"/>
          <w:szCs w:val="24"/>
          <w:highlight w:val="none"/>
          <w:u w:val="single"/>
          <w:lang w:eastAsia="zh-CN"/>
        </w:rPr>
        <w:t>202</w:t>
      </w:r>
      <w:r>
        <w:rPr>
          <w:rFonts w:hint="eastAsia" w:ascii="楷体" w:hAnsi="楷体" w:eastAsia="楷体" w:cs="楷体"/>
          <w:color w:val="auto"/>
          <w:szCs w:val="24"/>
          <w:highlight w:val="none"/>
          <w:u w:val="single"/>
          <w:lang w:val="en-US" w:eastAsia="zh-CN"/>
        </w:rPr>
        <w:t>6</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14:paraId="3E71A17C">
      <w:pPr>
        <w:rPr>
          <w:rFonts w:hint="eastAsia"/>
          <w:color w:val="auto"/>
          <w:highlight w:val="none"/>
        </w:rPr>
      </w:pPr>
      <w:bookmarkStart w:id="13" w:name="_Toc207166762"/>
    </w:p>
    <w:p w14:paraId="65E08EB4">
      <w:pPr>
        <w:pStyle w:val="4"/>
        <w:ind w:firstLine="0" w:firstLineChars="0"/>
        <w:jc w:val="both"/>
        <w:rPr>
          <w:rFonts w:hint="eastAsia" w:ascii="楷体" w:hAnsi="楷体" w:eastAsia="楷体" w:cs="楷体"/>
          <w:bCs w:val="0"/>
          <w:color w:val="auto"/>
          <w:sz w:val="36"/>
          <w:szCs w:val="36"/>
          <w:highlight w:val="none"/>
        </w:rPr>
      </w:pPr>
    </w:p>
    <w:p w14:paraId="620D1C00">
      <w:pPr>
        <w:pStyle w:val="4"/>
        <w:ind w:firstLine="0" w:firstLineChars="0"/>
        <w:jc w:val="center"/>
        <w:rPr>
          <w:rFonts w:hint="eastAsia" w:ascii="仿宋" w:hAnsi="仿宋" w:eastAsia="仿宋" w:cs="仿宋"/>
          <w:bCs w:val="0"/>
          <w:color w:val="auto"/>
          <w:sz w:val="36"/>
          <w:szCs w:val="36"/>
          <w:highlight w:val="none"/>
        </w:rPr>
      </w:pPr>
      <w:r>
        <w:rPr>
          <w:rFonts w:hint="eastAsia" w:ascii="仿宋" w:hAnsi="仿宋" w:eastAsia="仿宋" w:cs="仿宋"/>
          <w:bCs w:val="0"/>
          <w:color w:val="auto"/>
          <w:sz w:val="36"/>
          <w:szCs w:val="36"/>
          <w:highlight w:val="none"/>
        </w:rPr>
        <w:t>目  录</w:t>
      </w:r>
      <w:bookmarkEnd w:id="13"/>
    </w:p>
    <w:p w14:paraId="4A5C378F">
      <w:pPr>
        <w:spacing w:line="360" w:lineRule="auto"/>
        <w:rPr>
          <w:rFonts w:hint="eastAsia" w:ascii="仿宋" w:hAnsi="仿宋" w:eastAsia="仿宋" w:cs="仿宋"/>
          <w:b/>
          <w:bCs/>
          <w:color w:val="auto"/>
          <w:sz w:val="44"/>
          <w:highlight w:val="none"/>
        </w:rPr>
      </w:pPr>
    </w:p>
    <w:p w14:paraId="0895102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营业执照副本复印件及相关资质复印件</w:t>
      </w:r>
    </w:p>
    <w:p w14:paraId="61542A16">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报价函</w:t>
      </w:r>
    </w:p>
    <w:p w14:paraId="3A4A684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法定代表人（负责人）身份证明书</w:t>
      </w:r>
    </w:p>
    <w:p w14:paraId="68F02F2C">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法定代表人（负责人）授权委托书</w:t>
      </w:r>
    </w:p>
    <w:p w14:paraId="26FF1C9D">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承诺书</w:t>
      </w:r>
    </w:p>
    <w:p w14:paraId="07833572">
      <w:pPr>
        <w:numPr>
          <w:ilvl w:val="0"/>
          <w:numId w:val="1"/>
        </w:numPr>
        <w:spacing w:line="360" w:lineRule="auto"/>
        <w:ind w:left="0" w:leftChars="0" w:firstLine="420" w:firstLineChars="0"/>
        <w:rPr>
          <w:rFonts w:hint="eastAsia" w:ascii="宋体" w:hAnsi="宋体"/>
          <w:bCs/>
          <w:color w:val="auto"/>
          <w:szCs w:val="21"/>
          <w:highlight w:val="none"/>
        </w:rPr>
      </w:pPr>
      <w:r>
        <w:rPr>
          <w:rFonts w:hint="eastAsia" w:ascii="宋体" w:hAnsi="宋体"/>
          <w:bCs/>
          <w:color w:val="auto"/>
          <w:szCs w:val="21"/>
          <w:highlight w:val="none"/>
          <w:lang w:val="en-US" w:eastAsia="zh-CN"/>
        </w:rPr>
        <w:t>服务方案</w:t>
      </w:r>
      <w:r>
        <w:rPr>
          <w:rFonts w:hint="eastAsia" w:ascii="宋体" w:hAnsi="宋体"/>
          <w:bCs/>
          <w:color w:val="auto"/>
          <w:szCs w:val="21"/>
          <w:highlight w:val="none"/>
        </w:rPr>
        <w:t>（自行编制）</w:t>
      </w:r>
    </w:p>
    <w:p w14:paraId="27ECEBDA">
      <w:pPr>
        <w:numPr>
          <w:ilvl w:val="0"/>
          <w:numId w:val="1"/>
        </w:numPr>
        <w:spacing w:line="360" w:lineRule="auto"/>
        <w:ind w:left="0" w:leftChars="0" w:firstLine="420" w:firstLineChars="0"/>
        <w:rPr>
          <w:rFonts w:hint="eastAsia"/>
          <w:color w:val="auto"/>
          <w:highlight w:val="none"/>
          <w:lang w:eastAsia="zh-CN"/>
        </w:rPr>
      </w:pPr>
      <w:r>
        <w:rPr>
          <w:rFonts w:hint="eastAsia" w:ascii="宋体" w:hAnsi="宋体"/>
          <w:bCs/>
          <w:color w:val="auto"/>
          <w:szCs w:val="21"/>
          <w:highlight w:val="none"/>
          <w:lang w:val="en-US" w:eastAsia="zh-CN"/>
        </w:rPr>
        <w:t>应急方案</w:t>
      </w:r>
      <w:r>
        <w:rPr>
          <w:rFonts w:hint="eastAsia" w:ascii="宋体" w:hAnsi="宋体"/>
          <w:bCs/>
          <w:color w:val="auto"/>
          <w:szCs w:val="21"/>
          <w:highlight w:val="none"/>
        </w:rPr>
        <w:t>（自行编制）</w:t>
      </w:r>
    </w:p>
    <w:p w14:paraId="516972F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供应商类似业绩表及证明材料</w:t>
      </w:r>
    </w:p>
    <w:p w14:paraId="39F59455">
      <w:pPr>
        <w:numPr>
          <w:ilvl w:val="0"/>
          <w:numId w:val="1"/>
        </w:numPr>
        <w:spacing w:line="360" w:lineRule="auto"/>
        <w:ind w:left="0" w:leftChars="0" w:firstLine="420" w:firstLineChars="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供应商认为应提供的其他资料（自行编制）</w:t>
      </w:r>
    </w:p>
    <w:p w14:paraId="77061AA4">
      <w:pPr>
        <w:spacing w:line="360" w:lineRule="auto"/>
        <w:ind w:left="560" w:firstLine="321" w:firstLineChars="100"/>
        <w:jc w:val="center"/>
        <w:rPr>
          <w:rFonts w:hint="eastAsia" w:ascii="仿宋" w:hAnsi="仿宋" w:eastAsia="仿宋" w:cs="仿宋"/>
          <w:b/>
          <w:bCs/>
          <w:color w:val="auto"/>
          <w:highlight w:val="none"/>
        </w:rPr>
      </w:pPr>
    </w:p>
    <w:p w14:paraId="509EB4FC">
      <w:pPr>
        <w:spacing w:line="360" w:lineRule="auto"/>
        <w:ind w:left="560" w:firstLine="321" w:firstLineChars="100"/>
        <w:jc w:val="center"/>
        <w:rPr>
          <w:rFonts w:hint="eastAsia" w:ascii="仿宋" w:hAnsi="仿宋" w:eastAsia="仿宋" w:cs="仿宋"/>
          <w:b/>
          <w:bCs/>
          <w:color w:val="auto"/>
          <w:highlight w:val="none"/>
        </w:rPr>
      </w:pPr>
    </w:p>
    <w:p w14:paraId="0D3023FC">
      <w:pPr>
        <w:spacing w:line="360" w:lineRule="auto"/>
        <w:ind w:left="560" w:firstLine="321" w:firstLineChars="100"/>
        <w:jc w:val="center"/>
        <w:rPr>
          <w:rFonts w:hint="eastAsia" w:ascii="仿宋" w:hAnsi="仿宋" w:eastAsia="仿宋" w:cs="仿宋"/>
          <w:b/>
          <w:bCs/>
          <w:color w:val="auto"/>
          <w:highlight w:val="none"/>
        </w:rPr>
      </w:pPr>
    </w:p>
    <w:p w14:paraId="0D831C36">
      <w:pPr>
        <w:spacing w:line="360" w:lineRule="auto"/>
        <w:ind w:left="560" w:firstLine="321" w:firstLineChars="100"/>
        <w:jc w:val="center"/>
        <w:rPr>
          <w:rFonts w:hint="eastAsia" w:ascii="仿宋" w:hAnsi="仿宋" w:eastAsia="仿宋" w:cs="仿宋"/>
          <w:b/>
          <w:bCs/>
          <w:color w:val="auto"/>
          <w:highlight w:val="none"/>
        </w:rPr>
      </w:pPr>
    </w:p>
    <w:p w14:paraId="16BBB9CA">
      <w:pPr>
        <w:spacing w:line="360" w:lineRule="auto"/>
        <w:ind w:left="560" w:firstLine="321" w:firstLineChars="100"/>
        <w:jc w:val="center"/>
        <w:rPr>
          <w:rFonts w:hint="eastAsia" w:ascii="仿宋" w:hAnsi="仿宋" w:eastAsia="仿宋" w:cs="仿宋"/>
          <w:b/>
          <w:bCs/>
          <w:color w:val="auto"/>
          <w:highlight w:val="none"/>
        </w:rPr>
      </w:pPr>
    </w:p>
    <w:p w14:paraId="05C9E0BF">
      <w:pPr>
        <w:spacing w:line="360" w:lineRule="auto"/>
        <w:ind w:left="560" w:firstLine="321" w:firstLineChars="100"/>
        <w:jc w:val="center"/>
        <w:rPr>
          <w:rFonts w:hint="eastAsia" w:ascii="仿宋" w:hAnsi="仿宋" w:eastAsia="仿宋" w:cs="仿宋"/>
          <w:b/>
          <w:bCs/>
          <w:color w:val="auto"/>
          <w:highlight w:val="none"/>
        </w:rPr>
      </w:pPr>
    </w:p>
    <w:p w14:paraId="38D2E1C4">
      <w:pPr>
        <w:spacing w:line="360" w:lineRule="auto"/>
        <w:ind w:left="560" w:firstLine="321" w:firstLineChars="100"/>
        <w:jc w:val="center"/>
        <w:rPr>
          <w:rFonts w:hint="eastAsia" w:ascii="仿宋" w:hAnsi="仿宋" w:eastAsia="仿宋" w:cs="仿宋"/>
          <w:b/>
          <w:bCs/>
          <w:color w:val="auto"/>
          <w:highlight w:val="none"/>
        </w:rPr>
      </w:pPr>
    </w:p>
    <w:p w14:paraId="5D440F52">
      <w:pPr>
        <w:spacing w:line="360" w:lineRule="auto"/>
        <w:ind w:left="560" w:firstLine="321" w:firstLineChars="100"/>
        <w:jc w:val="center"/>
        <w:rPr>
          <w:rFonts w:hint="eastAsia" w:ascii="仿宋" w:hAnsi="仿宋" w:eastAsia="仿宋" w:cs="仿宋"/>
          <w:b/>
          <w:bCs/>
          <w:color w:val="auto"/>
          <w:highlight w:val="none"/>
        </w:rPr>
      </w:pPr>
    </w:p>
    <w:p w14:paraId="17B0A7BF">
      <w:pPr>
        <w:spacing w:line="360" w:lineRule="auto"/>
        <w:ind w:left="560" w:firstLine="321" w:firstLineChars="100"/>
        <w:jc w:val="center"/>
        <w:rPr>
          <w:rFonts w:hint="eastAsia" w:ascii="仿宋" w:hAnsi="仿宋" w:eastAsia="仿宋" w:cs="仿宋"/>
          <w:b/>
          <w:bCs/>
          <w:color w:val="auto"/>
          <w:highlight w:val="none"/>
        </w:rPr>
      </w:pPr>
    </w:p>
    <w:p w14:paraId="5BEA2A06">
      <w:pPr>
        <w:pStyle w:val="4"/>
        <w:numPr>
          <w:ilvl w:val="0"/>
          <w:numId w:val="2"/>
        </w:numPr>
        <w:ind w:left="0" w:leftChars="0" w:firstLine="420" w:firstLineChars="0"/>
        <w:jc w:val="center"/>
        <w:rPr>
          <w:rFonts w:hint="eastAsia" w:ascii="仿宋" w:hAnsi="仿宋" w:eastAsia="仿宋" w:cs="仿宋"/>
          <w:color w:val="auto"/>
          <w:sz w:val="36"/>
          <w:szCs w:val="36"/>
          <w:highlight w:val="none"/>
        </w:rPr>
      </w:pPr>
      <w:bookmarkStart w:id="14" w:name="_Toc207166763"/>
      <w:r>
        <w:rPr>
          <w:rFonts w:hint="eastAsia" w:ascii="仿宋" w:hAnsi="仿宋" w:eastAsia="仿宋" w:cs="仿宋"/>
          <w:color w:val="auto"/>
          <w:sz w:val="36"/>
          <w:szCs w:val="36"/>
          <w:highlight w:val="none"/>
        </w:rPr>
        <w:br w:type="page"/>
      </w:r>
      <w:r>
        <w:rPr>
          <w:rFonts w:hint="eastAsia" w:ascii="仿宋" w:hAnsi="仿宋" w:eastAsia="仿宋" w:cs="仿宋"/>
          <w:color w:val="auto"/>
          <w:sz w:val="32"/>
          <w:szCs w:val="32"/>
          <w:highlight w:val="none"/>
        </w:rPr>
        <w:t>营业执照副本复印件及相关资质复印件盖鲜章</w:t>
      </w:r>
    </w:p>
    <w:p w14:paraId="339107A3">
      <w:pPr>
        <w:pStyle w:val="4"/>
        <w:ind w:firstLine="0" w:firstLineChars="0"/>
        <w:jc w:val="center"/>
        <w:rPr>
          <w:rFonts w:hint="eastAsia" w:ascii="仿宋" w:hAnsi="仿宋" w:eastAsia="仿宋" w:cs="仿宋"/>
          <w:color w:val="auto"/>
          <w:sz w:val="36"/>
          <w:szCs w:val="36"/>
          <w:highlight w:val="none"/>
        </w:rPr>
      </w:pPr>
    </w:p>
    <w:p w14:paraId="6B69E495">
      <w:pPr>
        <w:pStyle w:val="4"/>
        <w:ind w:firstLine="0" w:firstLineChars="0"/>
        <w:jc w:val="center"/>
        <w:rPr>
          <w:rFonts w:hint="eastAsia" w:ascii="仿宋" w:hAnsi="仿宋" w:eastAsia="仿宋" w:cs="仿宋"/>
          <w:color w:val="auto"/>
          <w:sz w:val="36"/>
          <w:szCs w:val="36"/>
          <w:highlight w:val="none"/>
        </w:rPr>
      </w:pPr>
    </w:p>
    <w:p w14:paraId="52160557">
      <w:pPr>
        <w:pStyle w:val="4"/>
        <w:ind w:firstLine="0" w:firstLineChars="0"/>
        <w:jc w:val="center"/>
        <w:rPr>
          <w:rFonts w:hint="eastAsia" w:ascii="仿宋" w:hAnsi="仿宋" w:eastAsia="仿宋" w:cs="仿宋"/>
          <w:color w:val="auto"/>
          <w:sz w:val="36"/>
          <w:szCs w:val="36"/>
          <w:highlight w:val="none"/>
        </w:rPr>
      </w:pPr>
    </w:p>
    <w:p w14:paraId="170B726F">
      <w:pPr>
        <w:pStyle w:val="4"/>
        <w:ind w:firstLine="0" w:firstLineChars="0"/>
        <w:jc w:val="center"/>
        <w:rPr>
          <w:rFonts w:hint="eastAsia" w:ascii="仿宋" w:hAnsi="仿宋" w:eastAsia="仿宋" w:cs="仿宋"/>
          <w:color w:val="auto"/>
          <w:sz w:val="36"/>
          <w:szCs w:val="36"/>
          <w:highlight w:val="none"/>
        </w:rPr>
      </w:pPr>
    </w:p>
    <w:p w14:paraId="5555B0D1">
      <w:pPr>
        <w:pStyle w:val="4"/>
        <w:ind w:firstLine="0" w:firstLineChars="0"/>
        <w:jc w:val="center"/>
        <w:rPr>
          <w:rFonts w:hint="eastAsia" w:ascii="仿宋" w:hAnsi="仿宋" w:eastAsia="仿宋" w:cs="仿宋"/>
          <w:color w:val="auto"/>
          <w:sz w:val="36"/>
          <w:szCs w:val="36"/>
          <w:highlight w:val="none"/>
        </w:rPr>
      </w:pPr>
    </w:p>
    <w:p w14:paraId="62AED17D">
      <w:pPr>
        <w:pStyle w:val="4"/>
        <w:ind w:firstLine="0" w:firstLineChars="0"/>
        <w:jc w:val="center"/>
        <w:rPr>
          <w:rFonts w:hint="eastAsia" w:ascii="仿宋" w:hAnsi="仿宋" w:eastAsia="仿宋" w:cs="仿宋"/>
          <w:color w:val="auto"/>
          <w:sz w:val="36"/>
          <w:szCs w:val="36"/>
          <w:highlight w:val="none"/>
        </w:rPr>
      </w:pPr>
    </w:p>
    <w:p w14:paraId="392C0405">
      <w:pPr>
        <w:pStyle w:val="4"/>
        <w:ind w:firstLine="0" w:firstLineChars="0"/>
        <w:jc w:val="center"/>
        <w:rPr>
          <w:rFonts w:hint="eastAsia" w:ascii="仿宋" w:hAnsi="仿宋" w:eastAsia="仿宋" w:cs="仿宋"/>
          <w:color w:val="auto"/>
          <w:sz w:val="36"/>
          <w:szCs w:val="36"/>
          <w:highlight w:val="none"/>
        </w:rPr>
      </w:pPr>
    </w:p>
    <w:p w14:paraId="47FFDDFC">
      <w:pPr>
        <w:pStyle w:val="4"/>
        <w:ind w:firstLine="0" w:firstLineChars="0"/>
        <w:jc w:val="center"/>
        <w:rPr>
          <w:rFonts w:hint="eastAsia" w:ascii="仿宋" w:hAnsi="仿宋" w:eastAsia="仿宋" w:cs="仿宋"/>
          <w:color w:val="auto"/>
          <w:sz w:val="36"/>
          <w:szCs w:val="36"/>
          <w:highlight w:val="none"/>
        </w:rPr>
      </w:pPr>
    </w:p>
    <w:p w14:paraId="15CA348C">
      <w:pPr>
        <w:pStyle w:val="4"/>
        <w:ind w:firstLine="0" w:firstLineChars="0"/>
        <w:jc w:val="center"/>
        <w:rPr>
          <w:rFonts w:hint="eastAsia" w:ascii="仿宋" w:hAnsi="仿宋" w:eastAsia="仿宋" w:cs="仿宋"/>
          <w:color w:val="auto"/>
          <w:sz w:val="36"/>
          <w:szCs w:val="36"/>
          <w:highlight w:val="none"/>
        </w:rPr>
      </w:pPr>
    </w:p>
    <w:p w14:paraId="2C6E4209">
      <w:pPr>
        <w:pStyle w:val="4"/>
        <w:ind w:firstLine="0" w:firstLineChars="0"/>
        <w:jc w:val="center"/>
        <w:rPr>
          <w:rFonts w:hint="eastAsia" w:ascii="仿宋" w:hAnsi="仿宋" w:eastAsia="仿宋" w:cs="仿宋"/>
          <w:color w:val="auto"/>
          <w:sz w:val="36"/>
          <w:szCs w:val="36"/>
          <w:highlight w:val="none"/>
        </w:rPr>
      </w:pPr>
    </w:p>
    <w:p w14:paraId="28BC59EC">
      <w:pPr>
        <w:pStyle w:val="4"/>
        <w:ind w:firstLine="0" w:firstLineChars="0"/>
        <w:jc w:val="center"/>
        <w:rPr>
          <w:rFonts w:hint="eastAsia" w:ascii="仿宋" w:hAnsi="仿宋" w:eastAsia="仿宋" w:cs="仿宋"/>
          <w:color w:val="auto"/>
          <w:sz w:val="36"/>
          <w:szCs w:val="36"/>
          <w:highlight w:val="none"/>
        </w:rPr>
      </w:pPr>
    </w:p>
    <w:p w14:paraId="51719CEE">
      <w:pPr>
        <w:pStyle w:val="4"/>
        <w:ind w:firstLine="0" w:firstLineChars="0"/>
        <w:jc w:val="center"/>
        <w:rPr>
          <w:rFonts w:hint="eastAsia" w:ascii="仿宋" w:hAnsi="仿宋" w:eastAsia="仿宋" w:cs="仿宋"/>
          <w:color w:val="auto"/>
          <w:sz w:val="36"/>
          <w:szCs w:val="36"/>
          <w:highlight w:val="none"/>
        </w:rPr>
      </w:pPr>
    </w:p>
    <w:p w14:paraId="1FFFED47">
      <w:pPr>
        <w:pStyle w:val="4"/>
        <w:ind w:firstLine="0" w:firstLineChars="0"/>
        <w:jc w:val="center"/>
        <w:rPr>
          <w:rFonts w:hint="eastAsia" w:ascii="仿宋" w:hAnsi="仿宋" w:eastAsia="仿宋" w:cs="仿宋"/>
          <w:color w:val="auto"/>
          <w:sz w:val="36"/>
          <w:szCs w:val="36"/>
          <w:highlight w:val="none"/>
        </w:rPr>
      </w:pPr>
    </w:p>
    <w:p w14:paraId="260D91F8">
      <w:pPr>
        <w:pStyle w:val="4"/>
        <w:ind w:firstLine="0" w:firstLineChars="0"/>
        <w:jc w:val="center"/>
        <w:rPr>
          <w:rFonts w:hint="eastAsia" w:ascii="仿宋" w:hAnsi="仿宋" w:eastAsia="仿宋" w:cs="仿宋"/>
          <w:color w:val="auto"/>
          <w:sz w:val="36"/>
          <w:szCs w:val="36"/>
          <w:highlight w:val="none"/>
        </w:rPr>
      </w:pPr>
    </w:p>
    <w:p w14:paraId="31E6CD39">
      <w:pPr>
        <w:pStyle w:val="4"/>
        <w:ind w:firstLine="0" w:firstLineChars="0"/>
        <w:jc w:val="center"/>
        <w:rPr>
          <w:rFonts w:hint="eastAsia" w:ascii="仿宋" w:hAnsi="仿宋" w:eastAsia="仿宋" w:cs="仿宋"/>
          <w:color w:val="auto"/>
          <w:sz w:val="36"/>
          <w:szCs w:val="36"/>
          <w:highlight w:val="none"/>
        </w:rPr>
      </w:pPr>
    </w:p>
    <w:p w14:paraId="4437A4A2">
      <w:pPr>
        <w:pStyle w:val="4"/>
        <w:ind w:firstLine="0" w:firstLineChars="0"/>
        <w:jc w:val="center"/>
        <w:rPr>
          <w:rFonts w:hint="eastAsia" w:ascii="仿宋" w:hAnsi="仿宋" w:eastAsia="仿宋" w:cs="仿宋"/>
          <w:color w:val="auto"/>
          <w:sz w:val="36"/>
          <w:szCs w:val="36"/>
          <w:highlight w:val="none"/>
        </w:rPr>
      </w:pPr>
    </w:p>
    <w:p w14:paraId="10EDE0F8">
      <w:pPr>
        <w:pStyle w:val="4"/>
        <w:ind w:firstLine="0" w:firstLineChars="0"/>
        <w:jc w:val="center"/>
        <w:rPr>
          <w:rFonts w:hint="eastAsia" w:ascii="仿宋" w:hAnsi="仿宋" w:eastAsia="仿宋" w:cs="仿宋"/>
          <w:color w:val="auto"/>
          <w:sz w:val="36"/>
          <w:szCs w:val="36"/>
          <w:highlight w:val="none"/>
        </w:rPr>
      </w:pPr>
    </w:p>
    <w:p w14:paraId="344D2237">
      <w:pPr>
        <w:pStyle w:val="4"/>
        <w:ind w:firstLine="0" w:firstLineChars="0"/>
        <w:jc w:val="center"/>
        <w:rPr>
          <w:rFonts w:hint="eastAsia" w:ascii="仿宋" w:hAnsi="仿宋" w:eastAsia="仿宋" w:cs="仿宋"/>
          <w:color w:val="auto"/>
          <w:sz w:val="36"/>
          <w:szCs w:val="36"/>
          <w:highlight w:val="none"/>
        </w:rPr>
      </w:pPr>
    </w:p>
    <w:p w14:paraId="2D8E2399">
      <w:pPr>
        <w:pStyle w:val="4"/>
        <w:ind w:firstLine="0" w:firstLineChars="0"/>
        <w:jc w:val="center"/>
        <w:rPr>
          <w:rFonts w:hint="eastAsia" w:ascii="仿宋" w:hAnsi="仿宋" w:eastAsia="仿宋" w:cs="仿宋"/>
          <w:color w:val="auto"/>
          <w:sz w:val="36"/>
          <w:szCs w:val="36"/>
          <w:highlight w:val="none"/>
        </w:rPr>
      </w:pPr>
    </w:p>
    <w:p w14:paraId="0EF47142">
      <w:pPr>
        <w:pStyle w:val="4"/>
        <w:ind w:firstLine="0" w:firstLineChars="0"/>
        <w:jc w:val="center"/>
        <w:rPr>
          <w:rFonts w:hint="eastAsia" w:ascii="仿宋" w:hAnsi="仿宋" w:eastAsia="仿宋" w:cs="仿宋"/>
          <w:color w:val="auto"/>
          <w:sz w:val="36"/>
          <w:szCs w:val="36"/>
          <w:highlight w:val="none"/>
        </w:rPr>
      </w:pPr>
    </w:p>
    <w:p w14:paraId="5D3F2A1E">
      <w:pPr>
        <w:pStyle w:val="4"/>
        <w:ind w:firstLine="0" w:firstLineChars="0"/>
        <w:jc w:val="center"/>
        <w:rPr>
          <w:rFonts w:hint="eastAsia" w:ascii="仿宋" w:hAnsi="仿宋" w:eastAsia="仿宋" w:cs="仿宋"/>
          <w:color w:val="auto"/>
          <w:sz w:val="36"/>
          <w:szCs w:val="36"/>
          <w:highlight w:val="none"/>
        </w:rPr>
      </w:pPr>
    </w:p>
    <w:p w14:paraId="49F9DC08">
      <w:pPr>
        <w:pStyle w:val="4"/>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 价 函</w:t>
      </w:r>
      <w:bookmarkEnd w:id="14"/>
    </w:p>
    <w:p w14:paraId="5563B3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1EE25E3C">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根据已收到“</w:t>
      </w:r>
      <w:r>
        <w:rPr>
          <w:rFonts w:hint="eastAsia" w:ascii="仿宋" w:hAnsi="仿宋" w:eastAsia="仿宋" w:cs="仿宋"/>
          <w:b/>
          <w:bCs/>
          <w:color w:val="auto"/>
          <w:highlight w:val="none"/>
          <w:lang w:eastAsia="zh-CN"/>
        </w:rPr>
        <w:t>电梯维保服务采购项目（第二次）</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文件，决定参加贵院组织的本项目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采购。</w:t>
      </w:r>
    </w:p>
    <w:p w14:paraId="2CD6FF9F">
      <w:pPr>
        <w:numPr>
          <w:ilvl w:val="0"/>
          <w:numId w:val="3"/>
        </w:numPr>
        <w:spacing w:line="360" w:lineRule="auto"/>
        <w:ind w:left="425" w:leftChars="0" w:hanging="425"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我方完全同意自行承担为</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 xml:space="preserve">过程中所发生的一切费用。项目报价为人民币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元（大写：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w:t>
      </w:r>
    </w:p>
    <w:p w14:paraId="4DB64496">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我方同意所递交的响应文件在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有效期内有效，在此期间内我方有可能成交，我方将接受此约束。</w:t>
      </w:r>
    </w:p>
    <w:p w14:paraId="4DA45203">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除非另外达成协议并生效，成交通知书和我方的响应文件将构成约束我们双方的合同。</w:t>
      </w:r>
    </w:p>
    <w:p w14:paraId="19479D27">
      <w:pPr>
        <w:numPr>
          <w:ilvl w:val="0"/>
          <w:numId w:val="3"/>
        </w:numPr>
        <w:spacing w:line="360" w:lineRule="auto"/>
        <w:ind w:left="425" w:leftChars="0" w:hanging="425" w:firstLineChars="0"/>
        <w:rPr>
          <w:rFonts w:hint="eastAsia" w:ascii="仿宋" w:hAnsi="仿宋" w:eastAsia="仿宋" w:cs="仿宋"/>
          <w:color w:val="auto"/>
          <w:highlight w:val="none"/>
        </w:rPr>
      </w:pPr>
      <w:r>
        <w:rPr>
          <w:rFonts w:hint="eastAsia" w:ascii="仿宋" w:hAnsi="仿宋" w:eastAsia="仿宋" w:cs="仿宋"/>
          <w:color w:val="auto"/>
          <w:highlight w:val="none"/>
        </w:rPr>
        <w:t>我方接受</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文件中的所有条件。</w:t>
      </w:r>
    </w:p>
    <w:p w14:paraId="1603F604">
      <w:pPr>
        <w:adjustRightInd w:val="0"/>
        <w:snapToGrid w:val="0"/>
        <w:spacing w:line="360" w:lineRule="auto"/>
        <w:jc w:val="left"/>
        <w:rPr>
          <w:rFonts w:hint="eastAsia" w:ascii="仿宋" w:hAnsi="仿宋" w:eastAsia="仿宋" w:cs="仿宋"/>
          <w:color w:val="auto"/>
          <w:highlight w:val="none"/>
        </w:rPr>
      </w:pPr>
    </w:p>
    <w:p w14:paraId="5CE77A12">
      <w:pPr>
        <w:adjustRightInd w:val="0"/>
        <w:snapToGrid w:val="0"/>
        <w:spacing w:line="360" w:lineRule="auto"/>
        <w:jc w:val="left"/>
        <w:rPr>
          <w:rFonts w:hint="eastAsia" w:ascii="仿宋" w:hAnsi="仿宋" w:eastAsia="仿宋" w:cs="仿宋"/>
          <w:color w:val="auto"/>
          <w:highlight w:val="none"/>
        </w:rPr>
      </w:pPr>
    </w:p>
    <w:p w14:paraId="14B932D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77BB5894">
      <w:pPr>
        <w:adjustRightInd w:val="0"/>
        <w:snapToGrid w:val="0"/>
        <w:spacing w:line="360" w:lineRule="auto"/>
        <w:jc w:val="left"/>
        <w:rPr>
          <w:rFonts w:hint="eastAsia" w:ascii="仿宋" w:hAnsi="仿宋" w:eastAsia="仿宋" w:cs="仿宋"/>
          <w:color w:val="auto"/>
          <w:highlight w:val="none"/>
        </w:rPr>
      </w:pPr>
    </w:p>
    <w:p w14:paraId="3FBB4DB7">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6200EF01">
      <w:pPr>
        <w:adjustRightInd w:val="0"/>
        <w:snapToGrid w:val="0"/>
        <w:spacing w:line="360" w:lineRule="auto"/>
        <w:jc w:val="right"/>
        <w:rPr>
          <w:rFonts w:hint="eastAsia" w:ascii="仿宋" w:hAnsi="仿宋" w:eastAsia="仿宋" w:cs="仿宋"/>
          <w:color w:val="auto"/>
          <w:highlight w:val="none"/>
        </w:rPr>
      </w:pPr>
    </w:p>
    <w:p w14:paraId="0BA5A4A9">
      <w:pPr>
        <w:adjustRightInd w:val="0"/>
        <w:snapToGrid w:val="0"/>
        <w:spacing w:line="360" w:lineRule="auto"/>
        <w:jc w:val="right"/>
        <w:rPr>
          <w:rFonts w:hint="eastAsia" w:ascii="仿宋" w:hAnsi="仿宋" w:eastAsia="仿宋" w:cs="仿宋"/>
          <w:b/>
          <w:color w:val="auto"/>
          <w:sz w:val="36"/>
          <w:highlight w:val="none"/>
        </w:rPr>
      </w:pP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  月  日</w:t>
      </w:r>
    </w:p>
    <w:p w14:paraId="389AA28A">
      <w:pPr>
        <w:pStyle w:val="4"/>
        <w:ind w:firstLine="0" w:firstLineChars="0"/>
        <w:jc w:val="center"/>
        <w:rPr>
          <w:rFonts w:hint="eastAsia" w:ascii="仿宋" w:hAnsi="仿宋" w:eastAsia="仿宋" w:cs="仿宋"/>
          <w:color w:val="auto"/>
          <w:sz w:val="36"/>
          <w:szCs w:val="36"/>
          <w:highlight w:val="none"/>
        </w:rPr>
      </w:pPr>
      <w:bookmarkStart w:id="15" w:name="_Toc207166764"/>
      <w:r>
        <w:rPr>
          <w:rFonts w:hint="eastAsia" w:ascii="仿宋" w:hAnsi="仿宋" w:eastAsia="仿宋" w:cs="仿宋"/>
          <w:color w:val="auto"/>
          <w:sz w:val="36"/>
          <w:szCs w:val="36"/>
          <w:highlight w:val="none"/>
        </w:rPr>
        <w:br w:type="page"/>
      </w:r>
    </w:p>
    <w:p w14:paraId="749546E8">
      <w:pPr>
        <w:pStyle w:val="4"/>
        <w:numPr>
          <w:ilvl w:val="0"/>
          <w:numId w:val="2"/>
        </w:numPr>
        <w:ind w:left="0" w:leftChars="0" w:firstLine="42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法定代表人（负责人）身份证明书</w:t>
      </w:r>
      <w:bookmarkEnd w:id="15"/>
    </w:p>
    <w:p w14:paraId="29F98088">
      <w:pPr>
        <w:spacing w:line="360" w:lineRule="auto"/>
        <w:rPr>
          <w:rFonts w:hint="eastAsia" w:ascii="仿宋" w:hAnsi="仿宋" w:eastAsia="仿宋" w:cs="仿宋"/>
          <w:color w:val="auto"/>
          <w:highlight w:val="none"/>
          <w:u w:val="single"/>
          <w:shd w:val="pct10" w:color="auto" w:fill="FFFFFF"/>
        </w:rPr>
      </w:pPr>
      <w:r>
        <w:rPr>
          <w:rFonts w:hint="eastAsia" w:ascii="仿宋" w:hAnsi="仿宋" w:eastAsia="仿宋" w:cs="仿宋"/>
          <w:color w:val="auto"/>
          <w:highlight w:val="none"/>
        </w:rPr>
        <w:t>单位名称：</w:t>
      </w:r>
    </w:p>
    <w:p w14:paraId="76EB99FA">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单位性质：</w:t>
      </w:r>
    </w:p>
    <w:p w14:paraId="40C136A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法定地址：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C3ED67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768D9A8C">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经营期限：</w:t>
      </w:r>
      <w:r>
        <w:rPr>
          <w:rFonts w:hint="eastAsia" w:ascii="仿宋" w:hAnsi="仿宋" w:eastAsia="仿宋" w:cs="仿宋"/>
          <w:color w:val="auto"/>
          <w:highlight w:val="none"/>
          <w:u w:val="single"/>
        </w:rPr>
        <w:t xml:space="preserve">                                                                </w:t>
      </w:r>
    </w:p>
    <w:p w14:paraId="5127910E">
      <w:pPr>
        <w:spacing w:line="360" w:lineRule="auto"/>
        <w:ind w:firstLine="610"/>
        <w:rPr>
          <w:rFonts w:hint="eastAsia" w:ascii="仿宋" w:hAnsi="仿宋" w:eastAsia="仿宋" w:cs="仿宋"/>
          <w:color w:val="auto"/>
          <w:highlight w:val="none"/>
        </w:rPr>
      </w:pPr>
    </w:p>
    <w:p w14:paraId="7AE76BF2">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14:paraId="36F93348">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供应商单位名称）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p>
    <w:p w14:paraId="6D2496FA">
      <w:pPr>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417187C3">
      <w:pPr>
        <w:tabs>
          <w:tab w:val="left" w:pos="720"/>
          <w:tab w:val="left" w:pos="900"/>
        </w:tabs>
        <w:spacing w:line="360" w:lineRule="auto"/>
        <w:ind w:firstLine="640" w:firstLineChars="200"/>
        <w:rPr>
          <w:rFonts w:hint="eastAsia" w:ascii="仿宋" w:hAnsi="仿宋" w:eastAsia="仿宋" w:cs="仿宋"/>
          <w:color w:val="auto"/>
          <w:highlight w:val="none"/>
        </w:rPr>
      </w:pPr>
    </w:p>
    <w:p w14:paraId="4D8BEF4B">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身份证复印件盖鲜章</w:t>
      </w:r>
    </w:p>
    <w:p w14:paraId="30BCF8E2">
      <w:pPr>
        <w:tabs>
          <w:tab w:val="left" w:pos="720"/>
          <w:tab w:val="left" w:pos="900"/>
        </w:tabs>
        <w:spacing w:line="360" w:lineRule="auto"/>
        <w:rPr>
          <w:rFonts w:hint="eastAsia" w:ascii="仿宋" w:hAnsi="仿宋" w:eastAsia="仿宋" w:cs="仿宋"/>
          <w:color w:val="auto"/>
          <w:highlight w:val="none"/>
        </w:rPr>
      </w:pPr>
    </w:p>
    <w:p w14:paraId="20A25CC4">
      <w:pPr>
        <w:tabs>
          <w:tab w:val="left" w:pos="720"/>
          <w:tab w:val="left" w:pos="900"/>
        </w:tabs>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18B8BCE2">
      <w:pPr>
        <w:spacing w:line="360" w:lineRule="auto"/>
        <w:rPr>
          <w:rFonts w:hint="eastAsia" w:ascii="仿宋" w:hAnsi="仿宋" w:eastAsia="仿宋" w:cs="仿宋"/>
          <w:color w:val="auto"/>
          <w:sz w:val="36"/>
          <w:szCs w:val="36"/>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lang w:eastAsia="zh-CN"/>
        </w:rPr>
        <w:t>202</w:t>
      </w:r>
      <w:r>
        <w:rPr>
          <w:rFonts w:hint="eastAsia" w:ascii="仿宋" w:hAnsi="仿宋" w:eastAsia="仿宋" w:cs="仿宋"/>
          <w:color w:val="auto"/>
          <w:highlight w:val="none"/>
          <w:u w:val="single"/>
          <w:lang w:val="en-US" w:eastAsia="zh-CN"/>
        </w:rPr>
        <w:t>6</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6" w:name="_Toc207166765"/>
    </w:p>
    <w:p w14:paraId="60FF1D22">
      <w:pPr>
        <w:pStyle w:val="5"/>
        <w:ind w:firstLine="0" w:firstLineChars="0"/>
        <w:rPr>
          <w:rFonts w:hint="eastAsia" w:ascii="仿宋" w:hAnsi="仿宋" w:eastAsia="仿宋" w:cs="仿宋"/>
          <w:color w:val="auto"/>
          <w:sz w:val="36"/>
          <w:szCs w:val="36"/>
          <w:highlight w:val="none"/>
        </w:rPr>
      </w:pPr>
    </w:p>
    <w:p w14:paraId="5FF4FAF7">
      <w:pPr>
        <w:pStyle w:val="5"/>
        <w:ind w:firstLine="361"/>
        <w:rPr>
          <w:rFonts w:hint="eastAsia" w:ascii="仿宋" w:hAnsi="仿宋" w:eastAsia="仿宋" w:cs="仿宋"/>
          <w:color w:val="auto"/>
          <w:sz w:val="36"/>
          <w:szCs w:val="36"/>
          <w:highlight w:val="none"/>
        </w:rPr>
      </w:pPr>
    </w:p>
    <w:p w14:paraId="77BB652F">
      <w:pPr>
        <w:rPr>
          <w:rFonts w:hint="eastAsia"/>
          <w:color w:val="auto"/>
          <w:highlight w:val="none"/>
        </w:rPr>
      </w:pPr>
    </w:p>
    <w:p w14:paraId="508DCCA5">
      <w:pPr>
        <w:pStyle w:val="5"/>
        <w:ind w:left="0" w:leftChars="0" w:firstLine="0" w:firstLineChars="0"/>
        <w:rPr>
          <w:rFonts w:hint="eastAsia" w:ascii="仿宋" w:hAnsi="仿宋" w:eastAsia="仿宋" w:cs="仿宋"/>
          <w:color w:val="auto"/>
          <w:sz w:val="36"/>
          <w:szCs w:val="36"/>
          <w:highlight w:val="none"/>
        </w:rPr>
      </w:pPr>
    </w:p>
    <w:p w14:paraId="048510F1">
      <w:pPr>
        <w:rPr>
          <w:rFonts w:hint="eastAsia" w:ascii="仿宋" w:hAnsi="仿宋" w:eastAsia="仿宋" w:cs="仿宋"/>
          <w:color w:val="auto"/>
          <w:highlight w:val="none"/>
        </w:rPr>
      </w:pPr>
    </w:p>
    <w:p w14:paraId="3BA97DC2">
      <w:pPr>
        <w:pStyle w:val="5"/>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法定代表人（负责人）授权委托书</w:t>
      </w:r>
      <w:bookmarkEnd w:id="16"/>
    </w:p>
    <w:p w14:paraId="07E730BD">
      <w:pPr>
        <w:rPr>
          <w:rFonts w:hint="eastAsia" w:ascii="仿宋" w:hAnsi="仿宋" w:eastAsia="仿宋" w:cs="仿宋"/>
          <w:color w:val="auto"/>
          <w:highlight w:val="none"/>
          <w:lang w:val="en-US" w:eastAsia="zh-CN"/>
        </w:rPr>
      </w:pPr>
    </w:p>
    <w:p w14:paraId="5F5349AD">
      <w:pPr>
        <w:spacing w:line="360"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u w:val="single"/>
        </w:rPr>
        <w:t xml:space="preserve">                                 </w:t>
      </w:r>
    </w:p>
    <w:p w14:paraId="3FDAACEF">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 xml:space="preserve">      （法定人代表（负责人）姓名）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磋商</w:t>
      </w:r>
      <w:r>
        <w:rPr>
          <w:rFonts w:hint="eastAsia" w:ascii="仿宋" w:hAnsi="仿宋" w:eastAsia="仿宋" w:cs="仿宋"/>
          <w:color w:val="auto"/>
          <w:highlight w:val="none"/>
          <w:u w:val="single"/>
        </w:rPr>
        <w:t>供应商人名称）</w:t>
      </w:r>
      <w:r>
        <w:rPr>
          <w:rFonts w:hint="eastAsia" w:ascii="仿宋" w:hAnsi="仿宋" w:eastAsia="仿宋" w:cs="仿宋"/>
          <w:color w:val="auto"/>
          <w:highlight w:val="none"/>
        </w:rPr>
        <w:t>的法定代表人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，现授权委托</w:t>
      </w:r>
      <w:r>
        <w:rPr>
          <w:rFonts w:hint="eastAsia" w:ascii="仿宋" w:hAnsi="仿宋" w:eastAsia="仿宋" w:cs="仿宋"/>
          <w:color w:val="auto"/>
          <w:highlight w:val="none"/>
          <w:u w:val="single"/>
        </w:rPr>
        <w:t xml:space="preserve">          （姓名）</w:t>
      </w:r>
      <w:r>
        <w:rPr>
          <w:rFonts w:hint="eastAsia" w:ascii="仿宋" w:hAnsi="仿宋" w:eastAsia="仿宋" w:cs="仿宋"/>
          <w:color w:val="auto"/>
          <w:highlight w:val="none"/>
        </w:rPr>
        <w:t>被授权代理人身份证号码：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，为我单位代理人，参加</w:t>
      </w:r>
      <w:r>
        <w:rPr>
          <w:rFonts w:hint="eastAsia" w:ascii="仿宋" w:hAnsi="仿宋" w:eastAsia="仿宋" w:cs="仿宋"/>
          <w:color w:val="auto"/>
          <w:szCs w:val="24"/>
          <w:highlight w:val="none"/>
        </w:rPr>
        <w:t>梓潼县人民医院</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活动，代理人在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、成交、合同过程中所签署的一切文件和处理与之有关的一切事务我均予以承认。代理人无转委权。</w:t>
      </w:r>
    </w:p>
    <w:p w14:paraId="7643C7D6">
      <w:pPr>
        <w:spacing w:line="360" w:lineRule="auto"/>
        <w:ind w:firstLine="720" w:firstLineChars="225"/>
        <w:jc w:val="left"/>
        <w:rPr>
          <w:rFonts w:hint="eastAsia" w:ascii="仿宋" w:hAnsi="仿宋" w:eastAsia="仿宋" w:cs="仿宋"/>
          <w:color w:val="auto"/>
          <w:highlight w:val="none"/>
        </w:rPr>
      </w:pPr>
      <w:r>
        <w:rPr>
          <w:rFonts w:hint="eastAsia" w:ascii="仿宋" w:hAnsi="仿宋" w:eastAsia="仿宋" w:cs="仿宋"/>
          <w:color w:val="auto"/>
          <w:highlight w:val="none"/>
        </w:rPr>
        <w:t>特此委托。</w:t>
      </w:r>
    </w:p>
    <w:p w14:paraId="3806349F">
      <w:pPr>
        <w:spacing w:line="360" w:lineRule="auto"/>
        <w:ind w:firstLine="570"/>
        <w:jc w:val="left"/>
        <w:rPr>
          <w:rFonts w:hint="eastAsia" w:ascii="仿宋" w:hAnsi="仿宋" w:eastAsia="仿宋" w:cs="仿宋"/>
          <w:color w:val="auto"/>
          <w:highlight w:val="none"/>
        </w:rPr>
      </w:pPr>
    </w:p>
    <w:p w14:paraId="284D1B71">
      <w:pPr>
        <w:tabs>
          <w:tab w:val="left" w:pos="720"/>
          <w:tab w:val="left" w:pos="900"/>
        </w:tabs>
        <w:spacing w:line="360" w:lineRule="auto"/>
        <w:ind w:firstLine="640" w:firstLineChars="200"/>
        <w:rPr>
          <w:rFonts w:hint="eastAsia" w:ascii="仿宋" w:hAnsi="仿宋" w:eastAsia="仿宋" w:cs="仿宋"/>
          <w:color w:val="auto"/>
          <w:highlight w:val="none"/>
        </w:rPr>
      </w:pPr>
      <w:r>
        <w:rPr>
          <w:rFonts w:hint="eastAsia" w:ascii="仿宋" w:hAnsi="仿宋" w:eastAsia="仿宋" w:cs="仿宋"/>
          <w:color w:val="auto"/>
          <w:highlight w:val="none"/>
        </w:rPr>
        <w:t>附件：委托代理人身份证复印件（盖公章）</w:t>
      </w:r>
    </w:p>
    <w:p w14:paraId="6160D851">
      <w:pPr>
        <w:spacing w:line="480" w:lineRule="auto"/>
        <w:ind w:firstLine="4960" w:firstLineChars="1550"/>
        <w:jc w:val="left"/>
        <w:rPr>
          <w:rFonts w:hint="eastAsia" w:ascii="仿宋" w:hAnsi="仿宋" w:eastAsia="仿宋" w:cs="仿宋"/>
          <w:color w:val="auto"/>
          <w:highlight w:val="none"/>
        </w:rPr>
      </w:pPr>
    </w:p>
    <w:p w14:paraId="471EF4CB">
      <w:pPr>
        <w:spacing w:line="480" w:lineRule="auto"/>
        <w:ind w:firstLine="2240" w:firstLineChars="700"/>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EAEF8B9">
      <w:pPr>
        <w:spacing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（签字）</w:t>
      </w:r>
    </w:p>
    <w:p w14:paraId="5EBF7E93">
      <w:pPr>
        <w:spacing w:line="480" w:lineRule="auto"/>
        <w:jc w:val="center"/>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委托代理人：</w:t>
      </w:r>
      <w:r>
        <w:rPr>
          <w:rFonts w:hint="eastAsia" w:ascii="仿宋" w:hAnsi="仿宋" w:eastAsia="仿宋" w:cs="仿宋"/>
          <w:color w:val="auto"/>
          <w:highlight w:val="none"/>
          <w:u w:val="single"/>
        </w:rPr>
        <w:t xml:space="preserve">                    （签字）</w:t>
      </w:r>
    </w:p>
    <w:p w14:paraId="2FD6C14E">
      <w:pPr>
        <w:spacing w:line="360" w:lineRule="auto"/>
        <w:ind w:firstLine="4960" w:firstLineChars="1550"/>
        <w:jc w:val="right"/>
        <w:rPr>
          <w:rFonts w:hint="eastAsia" w:ascii="仿宋" w:hAnsi="仿宋" w:eastAsia="仿宋" w:cs="仿宋"/>
          <w:color w:val="auto"/>
          <w:highlight w:val="none"/>
        </w:rPr>
      </w:pPr>
    </w:p>
    <w:p w14:paraId="4D68B373">
      <w:pPr>
        <w:spacing w:line="360" w:lineRule="auto"/>
        <w:jc w:val="right"/>
        <w:rPr>
          <w:rFonts w:hint="eastAsia" w:ascii="仿宋" w:hAnsi="仿宋" w:eastAsia="仿宋" w:cs="仿宋"/>
          <w:color w:val="auto"/>
          <w:sz w:val="36"/>
          <w:szCs w:val="36"/>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bookmarkStart w:id="17" w:name="_Toc207166766"/>
      <w:bookmarkStart w:id="18" w:name="_Toc207166768"/>
    </w:p>
    <w:bookmarkEnd w:id="17"/>
    <w:bookmarkEnd w:id="18"/>
    <w:p w14:paraId="2FFAD689">
      <w:pPr>
        <w:rPr>
          <w:rFonts w:hint="eastAsia" w:ascii="仿宋" w:hAnsi="仿宋" w:eastAsia="仿宋" w:cs="仿宋"/>
          <w:b/>
          <w:bCs/>
          <w:color w:val="auto"/>
          <w:highlight w:val="none"/>
        </w:rPr>
      </w:pPr>
      <w:r>
        <w:rPr>
          <w:rFonts w:hint="eastAsia" w:ascii="仿宋" w:hAnsi="仿宋" w:eastAsia="仿宋" w:cs="仿宋"/>
          <w:b/>
          <w:bCs/>
          <w:color w:val="auto"/>
          <w:highlight w:val="none"/>
        </w:rPr>
        <w:t>注：法定代表人（负责人）亲自参加</w:t>
      </w:r>
      <w:r>
        <w:rPr>
          <w:rFonts w:hint="eastAsia" w:ascii="仿宋" w:hAnsi="仿宋" w:eastAsia="仿宋" w:cs="仿宋"/>
          <w:b/>
          <w:bCs/>
          <w:color w:val="auto"/>
          <w:highlight w:val="none"/>
          <w:lang w:eastAsia="zh-CN"/>
        </w:rPr>
        <w:t>磋商</w:t>
      </w:r>
      <w:r>
        <w:rPr>
          <w:rFonts w:hint="eastAsia" w:ascii="仿宋" w:hAnsi="仿宋" w:eastAsia="仿宋" w:cs="仿宋"/>
          <w:b/>
          <w:bCs/>
          <w:color w:val="auto"/>
          <w:highlight w:val="none"/>
        </w:rPr>
        <w:t>活动则不需提供授权委托书。</w:t>
      </w:r>
    </w:p>
    <w:p w14:paraId="27420E61">
      <w:pPr>
        <w:pStyle w:val="2"/>
        <w:rPr>
          <w:rFonts w:hint="eastAsia" w:ascii="仿宋" w:hAnsi="仿宋" w:eastAsia="仿宋" w:cs="仿宋"/>
          <w:color w:val="auto"/>
          <w:highlight w:val="none"/>
        </w:rPr>
      </w:pPr>
    </w:p>
    <w:p w14:paraId="424FD594">
      <w:pPr>
        <w:numPr>
          <w:ilvl w:val="0"/>
          <w:numId w:val="2"/>
        </w:numPr>
        <w:ind w:left="0" w:leftChars="0" w:firstLine="42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承诺书</w:t>
      </w:r>
    </w:p>
    <w:p w14:paraId="1D6B0B0E">
      <w:pPr>
        <w:spacing w:line="400" w:lineRule="exact"/>
        <w:ind w:firstLine="643" w:firstLineChars="200"/>
        <w:jc w:val="center"/>
        <w:rPr>
          <w:rFonts w:hint="eastAsia" w:ascii="仿宋" w:hAnsi="仿宋" w:eastAsia="仿宋" w:cs="仿宋"/>
          <w:b/>
          <w:color w:val="auto"/>
          <w:highlight w:val="none"/>
        </w:rPr>
      </w:pPr>
    </w:p>
    <w:p w14:paraId="019E45A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szCs w:val="24"/>
          <w:highlight w:val="none"/>
        </w:rPr>
        <w:t>梓潼县人民医院</w:t>
      </w:r>
    </w:p>
    <w:p w14:paraId="5185729F">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一、我公司作为本次采购项目的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供应商，根据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文件要求，现郑重承诺如下：</w:t>
      </w:r>
    </w:p>
    <w:p w14:paraId="291DDB0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（一）具有独立承担民事责任的能力；</w:t>
      </w:r>
    </w:p>
    <w:p w14:paraId="283A9FC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（二）具有良好的商业信誉；</w:t>
      </w:r>
    </w:p>
    <w:p w14:paraId="0B75FBE8">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（三）具有履行合同所必需的设备和专业技术能力；</w:t>
      </w:r>
    </w:p>
    <w:p w14:paraId="495232B4">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（四）有依法缴纳税收和社会保障资金的良好记录；</w:t>
      </w:r>
    </w:p>
    <w:p w14:paraId="01542A4E">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活动前三年内，在经营活动中没有重大违法记录；</w:t>
      </w:r>
    </w:p>
    <w:p w14:paraId="2060AE4C">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（六）法律、行政法规规定的其他条件。</w:t>
      </w:r>
    </w:p>
    <w:p w14:paraId="7130C8F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二、完全接受和满足本项目</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文件中规定的实质性要求，如对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文件有异议，已经在递交响应文件截止时间届满前依法进行维权救济，不存在对</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文件有异议的同时又参加</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以求侥幸成交或者为实现其他非法目的的行为。</w:t>
      </w:r>
    </w:p>
    <w:p w14:paraId="1F92EC03">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三、在参加本次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活动中，不存在与单位负责人为同一人或者存在直接控股、管理关系的其他供应商参与同一合同项下的</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活动的行为。</w:t>
      </w:r>
    </w:p>
    <w:p w14:paraId="3F8F05AA">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四、在参加本次</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活动中，不存在和其他供应商在同一合同项下的采购项目中，同时委托同一个自然人、同一家庭的人员、同一单位的人员作为代理人的行为。</w:t>
      </w:r>
    </w:p>
    <w:p w14:paraId="1D6C6899">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五、响应文件中提供的任何资料等响应承诺情况都是真实的、有效的、合法的。</w:t>
      </w:r>
    </w:p>
    <w:p w14:paraId="48432535">
      <w:pPr>
        <w:ind w:firstLine="64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本公司对上述承诺的内容事项真实性负责。如经查实上述承诺的内容事项存在虚假，我公司愿意接受以提供虚假材料谋取成交的法律责任。</w:t>
      </w:r>
    </w:p>
    <w:p w14:paraId="4B7F43F0">
      <w:pPr>
        <w:ind w:firstLine="640" w:firstLineChars="200"/>
        <w:jc w:val="left"/>
        <w:rPr>
          <w:rFonts w:hint="eastAsia" w:ascii="仿宋" w:hAnsi="仿宋" w:eastAsia="仿宋" w:cs="仿宋"/>
          <w:color w:val="auto"/>
          <w:highlight w:val="none"/>
        </w:rPr>
      </w:pPr>
    </w:p>
    <w:p w14:paraId="466349F4">
      <w:pPr>
        <w:ind w:firstLine="640" w:firstLineChars="200"/>
        <w:jc w:val="left"/>
        <w:rPr>
          <w:rFonts w:hint="eastAsia" w:ascii="仿宋" w:hAnsi="仿宋" w:eastAsia="仿宋" w:cs="仿宋"/>
          <w:color w:val="auto"/>
          <w:highlight w:val="none"/>
        </w:rPr>
      </w:pPr>
    </w:p>
    <w:p w14:paraId="1E3642F1">
      <w:pPr>
        <w:adjustRightInd w:val="0"/>
        <w:snapToGrid w:val="0"/>
        <w:spacing w:line="360" w:lineRule="auto"/>
        <w:jc w:val="left"/>
        <w:rPr>
          <w:rFonts w:hint="eastAsia" w:ascii="仿宋" w:hAnsi="仿宋" w:eastAsia="仿宋" w:cs="仿宋"/>
          <w:color w:val="auto"/>
          <w:highlight w:val="none"/>
        </w:rPr>
      </w:pPr>
    </w:p>
    <w:p w14:paraId="6ABC831B">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（盖章）</w:t>
      </w:r>
    </w:p>
    <w:p w14:paraId="66EE5E6E">
      <w:pPr>
        <w:adjustRightInd w:val="0"/>
        <w:snapToGrid w:val="0"/>
        <w:spacing w:line="360" w:lineRule="auto"/>
        <w:jc w:val="left"/>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szCs w:val="24"/>
          <w:highlight w:val="none"/>
        </w:rPr>
        <w:t>（负责人）</w:t>
      </w:r>
      <w:r>
        <w:rPr>
          <w:rFonts w:hint="eastAsia" w:ascii="仿宋" w:hAnsi="仿宋" w:eastAsia="仿宋" w:cs="仿宋"/>
          <w:color w:val="auto"/>
          <w:highlight w:val="none"/>
        </w:rPr>
        <w:t>或其授权委托人：</w:t>
      </w:r>
      <w:r>
        <w:rPr>
          <w:rFonts w:hint="eastAsia" w:ascii="仿宋" w:hAnsi="仿宋" w:eastAsia="仿宋" w:cs="仿宋"/>
          <w:color w:val="auto"/>
          <w:highlight w:val="none"/>
          <w:u w:val="single"/>
        </w:rPr>
        <w:t xml:space="preserve">          （签字或盖章）</w:t>
      </w:r>
    </w:p>
    <w:p w14:paraId="4FAC5BB6">
      <w:pPr>
        <w:adjustRightInd w:val="0"/>
        <w:snapToGrid w:val="0"/>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   月   日</w:t>
      </w:r>
    </w:p>
    <w:p w14:paraId="49FB46F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E8699A2">
      <w:pPr>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color w:val="auto"/>
          <w:kern w:val="2"/>
          <w:sz w:val="32"/>
          <w:szCs w:val="32"/>
          <w:highlight w:val="none"/>
          <w:lang w:val="en-US" w:eastAsia="zh-CN" w:bidi="ar-SA"/>
        </w:rPr>
        <w:t>六、</w:t>
      </w:r>
      <w:r>
        <w:rPr>
          <w:rFonts w:hint="eastAsia" w:ascii="仿宋" w:hAnsi="仿宋" w:eastAsia="仿宋" w:cs="仿宋"/>
          <w:b/>
          <w:bCs w:val="0"/>
          <w:color w:val="auto"/>
          <w:sz w:val="32"/>
          <w:szCs w:val="32"/>
          <w:highlight w:val="none"/>
          <w:lang w:eastAsia="zh-CN"/>
        </w:rPr>
        <w:t>服务方案</w:t>
      </w:r>
    </w:p>
    <w:p w14:paraId="1AF35BED">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6BBA1426">
      <w:pPr>
        <w:pStyle w:val="6"/>
        <w:jc w:val="center"/>
        <w:rPr>
          <w:rFonts w:hint="eastAsia" w:ascii="宋体" w:hAnsi="宋体" w:eastAsia="宋体" w:cs="宋体"/>
          <w:b/>
          <w:bCs/>
          <w:color w:val="auto"/>
          <w:kern w:val="2"/>
          <w:sz w:val="36"/>
          <w:szCs w:val="32"/>
          <w:highlight w:val="none"/>
          <w:lang w:val="en-US" w:eastAsia="zh-CN" w:bidi="ar-SA"/>
        </w:rPr>
      </w:pPr>
    </w:p>
    <w:p w14:paraId="5BC1F78B">
      <w:pPr>
        <w:rPr>
          <w:rFonts w:hint="eastAsia" w:ascii="宋体" w:hAnsi="宋体" w:eastAsia="宋体" w:cs="宋体"/>
          <w:b/>
          <w:bCs/>
          <w:color w:val="auto"/>
          <w:kern w:val="2"/>
          <w:sz w:val="36"/>
          <w:szCs w:val="32"/>
          <w:highlight w:val="none"/>
          <w:lang w:val="en-US" w:eastAsia="zh-CN" w:bidi="ar-SA"/>
        </w:rPr>
      </w:pPr>
    </w:p>
    <w:p w14:paraId="2D11ACAF">
      <w:pPr>
        <w:rPr>
          <w:rFonts w:hint="eastAsia" w:ascii="宋体" w:hAnsi="宋体" w:eastAsia="宋体" w:cs="宋体"/>
          <w:b/>
          <w:bCs/>
          <w:color w:val="auto"/>
          <w:kern w:val="2"/>
          <w:sz w:val="36"/>
          <w:szCs w:val="32"/>
          <w:highlight w:val="none"/>
          <w:lang w:val="en-US" w:eastAsia="zh-CN" w:bidi="ar-SA"/>
        </w:rPr>
      </w:pPr>
    </w:p>
    <w:p w14:paraId="79685DFA">
      <w:pPr>
        <w:rPr>
          <w:rFonts w:hint="eastAsia" w:ascii="宋体" w:hAnsi="宋体" w:eastAsia="宋体" w:cs="宋体"/>
          <w:b/>
          <w:bCs/>
          <w:color w:val="auto"/>
          <w:kern w:val="2"/>
          <w:sz w:val="36"/>
          <w:szCs w:val="32"/>
          <w:highlight w:val="none"/>
          <w:lang w:val="en-US" w:eastAsia="zh-CN" w:bidi="ar-SA"/>
        </w:rPr>
      </w:pPr>
    </w:p>
    <w:p w14:paraId="0C31A719">
      <w:pPr>
        <w:rPr>
          <w:rFonts w:hint="eastAsia" w:ascii="宋体" w:hAnsi="宋体" w:eastAsia="宋体" w:cs="宋体"/>
          <w:b/>
          <w:bCs/>
          <w:color w:val="auto"/>
          <w:kern w:val="2"/>
          <w:sz w:val="36"/>
          <w:szCs w:val="32"/>
          <w:highlight w:val="none"/>
          <w:lang w:val="en-US" w:eastAsia="zh-CN" w:bidi="ar-SA"/>
        </w:rPr>
      </w:pPr>
    </w:p>
    <w:p w14:paraId="0B3F9C4A">
      <w:pPr>
        <w:rPr>
          <w:rFonts w:hint="eastAsia" w:ascii="宋体" w:hAnsi="宋体" w:eastAsia="宋体" w:cs="宋体"/>
          <w:b/>
          <w:bCs/>
          <w:color w:val="auto"/>
          <w:kern w:val="2"/>
          <w:sz w:val="36"/>
          <w:szCs w:val="32"/>
          <w:highlight w:val="none"/>
          <w:lang w:val="en-US" w:eastAsia="zh-CN" w:bidi="ar-SA"/>
        </w:rPr>
      </w:pPr>
    </w:p>
    <w:p w14:paraId="70326B1F">
      <w:pPr>
        <w:rPr>
          <w:rFonts w:hint="eastAsia" w:ascii="宋体" w:hAnsi="宋体" w:eastAsia="宋体" w:cs="宋体"/>
          <w:b/>
          <w:bCs/>
          <w:color w:val="auto"/>
          <w:kern w:val="2"/>
          <w:sz w:val="36"/>
          <w:szCs w:val="32"/>
          <w:highlight w:val="none"/>
          <w:lang w:val="en-US" w:eastAsia="zh-CN" w:bidi="ar-SA"/>
        </w:rPr>
      </w:pPr>
    </w:p>
    <w:p w14:paraId="61B5D0EE">
      <w:pPr>
        <w:rPr>
          <w:rFonts w:hint="eastAsia" w:ascii="宋体" w:hAnsi="宋体" w:eastAsia="宋体" w:cs="宋体"/>
          <w:b/>
          <w:bCs/>
          <w:color w:val="auto"/>
          <w:kern w:val="2"/>
          <w:sz w:val="36"/>
          <w:szCs w:val="32"/>
          <w:highlight w:val="none"/>
          <w:lang w:val="en-US" w:eastAsia="zh-CN" w:bidi="ar-SA"/>
        </w:rPr>
      </w:pPr>
    </w:p>
    <w:p w14:paraId="7D3C2CDA">
      <w:pPr>
        <w:rPr>
          <w:rFonts w:hint="eastAsia" w:ascii="宋体" w:hAnsi="宋体" w:eastAsia="宋体" w:cs="宋体"/>
          <w:b/>
          <w:bCs/>
          <w:color w:val="auto"/>
          <w:kern w:val="2"/>
          <w:sz w:val="36"/>
          <w:szCs w:val="32"/>
          <w:highlight w:val="none"/>
          <w:lang w:val="en-US" w:eastAsia="zh-CN" w:bidi="ar-SA"/>
        </w:rPr>
      </w:pPr>
    </w:p>
    <w:p w14:paraId="691E17FE">
      <w:pPr>
        <w:rPr>
          <w:rFonts w:hint="eastAsia" w:ascii="宋体" w:hAnsi="宋体" w:eastAsia="宋体" w:cs="宋体"/>
          <w:b/>
          <w:bCs/>
          <w:color w:val="auto"/>
          <w:kern w:val="2"/>
          <w:sz w:val="36"/>
          <w:szCs w:val="32"/>
          <w:highlight w:val="none"/>
          <w:lang w:val="en-US" w:eastAsia="zh-CN" w:bidi="ar-SA"/>
        </w:rPr>
      </w:pPr>
    </w:p>
    <w:p w14:paraId="362AB5D2">
      <w:pPr>
        <w:rPr>
          <w:rFonts w:hint="eastAsia" w:ascii="宋体" w:hAnsi="宋体" w:eastAsia="宋体" w:cs="宋体"/>
          <w:b/>
          <w:bCs/>
          <w:color w:val="auto"/>
          <w:kern w:val="2"/>
          <w:sz w:val="36"/>
          <w:szCs w:val="32"/>
          <w:highlight w:val="none"/>
          <w:lang w:val="en-US" w:eastAsia="zh-CN" w:bidi="ar-SA"/>
        </w:rPr>
      </w:pPr>
    </w:p>
    <w:p w14:paraId="638F2729">
      <w:pPr>
        <w:rPr>
          <w:rFonts w:hint="eastAsia" w:ascii="宋体" w:hAnsi="宋体" w:eastAsia="宋体" w:cs="宋体"/>
          <w:b/>
          <w:bCs/>
          <w:color w:val="auto"/>
          <w:kern w:val="2"/>
          <w:sz w:val="36"/>
          <w:szCs w:val="32"/>
          <w:highlight w:val="none"/>
          <w:lang w:val="en-US" w:eastAsia="zh-CN" w:bidi="ar-SA"/>
        </w:rPr>
      </w:pPr>
    </w:p>
    <w:p w14:paraId="32F88D3B">
      <w:pPr>
        <w:rPr>
          <w:rFonts w:hint="eastAsia" w:ascii="宋体" w:hAnsi="宋体" w:eastAsia="宋体" w:cs="宋体"/>
          <w:b/>
          <w:bCs/>
          <w:color w:val="auto"/>
          <w:kern w:val="2"/>
          <w:sz w:val="36"/>
          <w:szCs w:val="32"/>
          <w:highlight w:val="none"/>
          <w:lang w:val="en-US" w:eastAsia="zh-CN" w:bidi="ar-SA"/>
        </w:rPr>
      </w:pPr>
    </w:p>
    <w:p w14:paraId="64EB8810">
      <w:pPr>
        <w:rPr>
          <w:rFonts w:hint="eastAsia" w:ascii="宋体" w:hAnsi="宋体" w:eastAsia="宋体" w:cs="宋体"/>
          <w:b/>
          <w:bCs/>
          <w:color w:val="auto"/>
          <w:kern w:val="2"/>
          <w:sz w:val="36"/>
          <w:szCs w:val="32"/>
          <w:highlight w:val="none"/>
          <w:lang w:val="en-US" w:eastAsia="zh-CN" w:bidi="ar-SA"/>
        </w:rPr>
      </w:pPr>
    </w:p>
    <w:p w14:paraId="6CBEF2FF">
      <w:pPr>
        <w:rPr>
          <w:rFonts w:hint="eastAsia" w:ascii="宋体" w:hAnsi="宋体" w:eastAsia="宋体" w:cs="宋体"/>
          <w:b/>
          <w:bCs/>
          <w:color w:val="auto"/>
          <w:kern w:val="2"/>
          <w:sz w:val="36"/>
          <w:szCs w:val="32"/>
          <w:highlight w:val="none"/>
          <w:lang w:val="en-US" w:eastAsia="zh-CN" w:bidi="ar-SA"/>
        </w:rPr>
      </w:pPr>
    </w:p>
    <w:p w14:paraId="162E73FA">
      <w:pPr>
        <w:rPr>
          <w:rFonts w:hint="eastAsia" w:ascii="宋体" w:hAnsi="宋体" w:eastAsia="宋体" w:cs="宋体"/>
          <w:b/>
          <w:bCs/>
          <w:color w:val="auto"/>
          <w:kern w:val="2"/>
          <w:sz w:val="36"/>
          <w:szCs w:val="32"/>
          <w:highlight w:val="none"/>
          <w:lang w:val="en-US" w:eastAsia="zh-CN" w:bidi="ar-SA"/>
        </w:rPr>
      </w:pPr>
    </w:p>
    <w:p w14:paraId="1B1CD3FC">
      <w:pPr>
        <w:rPr>
          <w:rFonts w:hint="eastAsia" w:ascii="宋体" w:hAnsi="宋体" w:eastAsia="宋体" w:cs="宋体"/>
          <w:b/>
          <w:bCs/>
          <w:color w:val="auto"/>
          <w:kern w:val="2"/>
          <w:sz w:val="36"/>
          <w:szCs w:val="32"/>
          <w:highlight w:val="none"/>
          <w:lang w:val="en-US" w:eastAsia="zh-CN" w:bidi="ar-SA"/>
        </w:rPr>
      </w:pPr>
    </w:p>
    <w:p w14:paraId="5287CC3B">
      <w:pPr>
        <w:rPr>
          <w:rFonts w:hint="eastAsia" w:ascii="宋体" w:hAnsi="宋体" w:eastAsia="宋体" w:cs="宋体"/>
          <w:b/>
          <w:bCs/>
          <w:color w:val="auto"/>
          <w:kern w:val="2"/>
          <w:sz w:val="36"/>
          <w:szCs w:val="32"/>
          <w:highlight w:val="none"/>
          <w:lang w:val="en-US" w:eastAsia="zh-CN" w:bidi="ar-SA"/>
        </w:rPr>
      </w:pPr>
    </w:p>
    <w:p w14:paraId="1B6734CA">
      <w:pPr>
        <w:rPr>
          <w:rFonts w:hint="eastAsia" w:ascii="宋体" w:hAnsi="宋体" w:eastAsia="宋体" w:cs="宋体"/>
          <w:b/>
          <w:bCs/>
          <w:color w:val="auto"/>
          <w:kern w:val="2"/>
          <w:sz w:val="36"/>
          <w:szCs w:val="32"/>
          <w:highlight w:val="none"/>
          <w:lang w:val="en-US" w:eastAsia="zh-CN" w:bidi="ar-SA"/>
        </w:rPr>
      </w:pPr>
    </w:p>
    <w:p w14:paraId="40996C63">
      <w:pPr>
        <w:pStyle w:val="2"/>
        <w:numPr>
          <w:ilvl w:val="0"/>
          <w:numId w:val="0"/>
        </w:numPr>
        <w:ind w:left="420" w:leftChars="0"/>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val="en-US" w:eastAsia="zh-CN"/>
        </w:rPr>
        <w:t>七、</w:t>
      </w:r>
      <w:r>
        <w:rPr>
          <w:rFonts w:hint="eastAsia" w:ascii="仿宋" w:hAnsi="仿宋" w:eastAsia="仿宋" w:cs="仿宋"/>
          <w:b/>
          <w:bCs w:val="0"/>
          <w:color w:val="auto"/>
          <w:sz w:val="32"/>
          <w:szCs w:val="32"/>
          <w:highlight w:val="none"/>
          <w:lang w:eastAsia="zh-CN"/>
        </w:rPr>
        <w:t>应急方案</w:t>
      </w:r>
    </w:p>
    <w:p w14:paraId="737F385F">
      <w:pPr>
        <w:numPr>
          <w:ilvl w:val="0"/>
          <w:numId w:val="0"/>
        </w:numPr>
        <w:ind w:left="420" w:leftChars="0"/>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格式自拟</w:t>
      </w:r>
    </w:p>
    <w:p w14:paraId="38A62BE7">
      <w:pPr>
        <w:pStyle w:val="6"/>
        <w:jc w:val="center"/>
        <w:rPr>
          <w:rFonts w:hint="eastAsia" w:ascii="宋体" w:hAnsi="宋体" w:eastAsia="宋体" w:cs="宋体"/>
          <w:b/>
          <w:bCs/>
          <w:color w:val="auto"/>
          <w:kern w:val="2"/>
          <w:sz w:val="36"/>
          <w:szCs w:val="32"/>
          <w:highlight w:val="none"/>
          <w:lang w:val="en-US" w:eastAsia="zh-CN" w:bidi="ar-SA"/>
        </w:rPr>
      </w:pPr>
    </w:p>
    <w:p w14:paraId="0675A9A9">
      <w:pPr>
        <w:pStyle w:val="6"/>
        <w:jc w:val="center"/>
        <w:rPr>
          <w:rFonts w:hint="eastAsia" w:ascii="宋体" w:hAnsi="宋体" w:eastAsia="宋体" w:cs="宋体"/>
          <w:b/>
          <w:bCs/>
          <w:color w:val="auto"/>
          <w:kern w:val="2"/>
          <w:sz w:val="36"/>
          <w:szCs w:val="32"/>
          <w:highlight w:val="none"/>
          <w:lang w:val="en-US" w:eastAsia="zh-CN" w:bidi="ar-SA"/>
        </w:rPr>
      </w:pPr>
    </w:p>
    <w:p w14:paraId="4E8E1C33">
      <w:pPr>
        <w:pStyle w:val="6"/>
        <w:jc w:val="center"/>
        <w:rPr>
          <w:rFonts w:hint="eastAsia" w:ascii="宋体" w:hAnsi="宋体" w:eastAsia="宋体" w:cs="宋体"/>
          <w:b/>
          <w:bCs/>
          <w:color w:val="auto"/>
          <w:kern w:val="2"/>
          <w:sz w:val="36"/>
          <w:szCs w:val="32"/>
          <w:highlight w:val="none"/>
          <w:lang w:val="en-US" w:eastAsia="zh-CN" w:bidi="ar-SA"/>
        </w:rPr>
      </w:pPr>
    </w:p>
    <w:p w14:paraId="5C90D571">
      <w:pPr>
        <w:pStyle w:val="6"/>
        <w:jc w:val="center"/>
        <w:rPr>
          <w:rFonts w:hint="eastAsia" w:ascii="宋体" w:hAnsi="宋体" w:eastAsia="宋体" w:cs="宋体"/>
          <w:b/>
          <w:bCs/>
          <w:color w:val="auto"/>
          <w:kern w:val="2"/>
          <w:sz w:val="36"/>
          <w:szCs w:val="32"/>
          <w:highlight w:val="none"/>
          <w:lang w:val="en-US" w:eastAsia="zh-CN" w:bidi="ar-SA"/>
        </w:rPr>
      </w:pPr>
    </w:p>
    <w:p w14:paraId="5392B039">
      <w:pPr>
        <w:pStyle w:val="6"/>
        <w:jc w:val="both"/>
        <w:rPr>
          <w:rFonts w:hint="eastAsia" w:ascii="宋体" w:hAnsi="宋体" w:eastAsia="宋体" w:cs="宋体"/>
          <w:b/>
          <w:bCs/>
          <w:color w:val="auto"/>
          <w:kern w:val="2"/>
          <w:sz w:val="36"/>
          <w:szCs w:val="32"/>
          <w:highlight w:val="none"/>
          <w:lang w:val="en-US" w:eastAsia="zh-CN" w:bidi="ar-SA"/>
        </w:rPr>
      </w:pPr>
    </w:p>
    <w:p w14:paraId="37719E66">
      <w:pPr>
        <w:rPr>
          <w:rFonts w:hint="eastAsia" w:ascii="宋体" w:hAnsi="宋体" w:eastAsia="宋体" w:cs="宋体"/>
          <w:b/>
          <w:bCs/>
          <w:color w:val="auto"/>
          <w:kern w:val="2"/>
          <w:sz w:val="36"/>
          <w:szCs w:val="32"/>
          <w:highlight w:val="none"/>
          <w:lang w:val="en-US" w:eastAsia="zh-CN" w:bidi="ar-SA"/>
        </w:rPr>
      </w:pPr>
    </w:p>
    <w:p w14:paraId="5DCFAEB4">
      <w:pPr>
        <w:pStyle w:val="6"/>
        <w:rPr>
          <w:rFonts w:hint="eastAsia" w:ascii="宋体" w:hAnsi="宋体" w:eastAsia="宋体" w:cs="宋体"/>
          <w:b/>
          <w:bCs/>
          <w:color w:val="auto"/>
          <w:kern w:val="2"/>
          <w:sz w:val="36"/>
          <w:szCs w:val="32"/>
          <w:highlight w:val="none"/>
          <w:lang w:val="en-US" w:eastAsia="zh-CN" w:bidi="ar-SA"/>
        </w:rPr>
      </w:pPr>
    </w:p>
    <w:p w14:paraId="6B2857B6">
      <w:pPr>
        <w:rPr>
          <w:rFonts w:hint="eastAsia" w:ascii="宋体" w:hAnsi="宋体" w:eastAsia="宋体" w:cs="宋体"/>
          <w:b/>
          <w:bCs/>
          <w:color w:val="auto"/>
          <w:kern w:val="2"/>
          <w:sz w:val="36"/>
          <w:szCs w:val="32"/>
          <w:highlight w:val="none"/>
          <w:lang w:val="en-US" w:eastAsia="zh-CN" w:bidi="ar-SA"/>
        </w:rPr>
      </w:pPr>
    </w:p>
    <w:p w14:paraId="21A0F8DE">
      <w:pPr>
        <w:pStyle w:val="6"/>
        <w:rPr>
          <w:rFonts w:hint="eastAsia" w:ascii="宋体" w:hAnsi="宋体" w:eastAsia="宋体" w:cs="宋体"/>
          <w:b/>
          <w:bCs/>
          <w:color w:val="auto"/>
          <w:kern w:val="2"/>
          <w:sz w:val="36"/>
          <w:szCs w:val="32"/>
          <w:highlight w:val="none"/>
          <w:lang w:val="en-US" w:eastAsia="zh-CN" w:bidi="ar-SA"/>
        </w:rPr>
      </w:pPr>
    </w:p>
    <w:p w14:paraId="02C47389">
      <w:pPr>
        <w:rPr>
          <w:rFonts w:hint="eastAsia"/>
          <w:color w:val="auto"/>
          <w:highlight w:val="none"/>
          <w:lang w:val="en-US" w:eastAsia="zh-CN"/>
        </w:rPr>
      </w:pPr>
    </w:p>
    <w:p w14:paraId="0E7084E5">
      <w:pPr>
        <w:pStyle w:val="6"/>
        <w:jc w:val="center"/>
        <w:rPr>
          <w:rFonts w:hint="eastAsia" w:ascii="宋体" w:hAnsi="宋体" w:eastAsia="宋体" w:cs="宋体"/>
          <w:b/>
          <w:bCs/>
          <w:color w:val="auto"/>
          <w:kern w:val="2"/>
          <w:sz w:val="36"/>
          <w:szCs w:val="32"/>
          <w:highlight w:val="none"/>
          <w:lang w:val="en-US" w:eastAsia="zh-CN" w:bidi="ar-SA"/>
        </w:rPr>
      </w:pPr>
    </w:p>
    <w:p w14:paraId="2D6E98E0">
      <w:pPr>
        <w:rPr>
          <w:rFonts w:hint="eastAsia"/>
          <w:color w:val="auto"/>
          <w:highlight w:val="none"/>
          <w:lang w:val="en-US" w:eastAsia="zh-CN"/>
        </w:rPr>
      </w:pPr>
    </w:p>
    <w:p w14:paraId="7BAC7A0E">
      <w:pPr>
        <w:pStyle w:val="6"/>
        <w:rPr>
          <w:rFonts w:hint="eastAsia"/>
          <w:color w:val="auto"/>
          <w:highlight w:val="none"/>
          <w:lang w:val="en-US" w:eastAsia="zh-CN"/>
        </w:rPr>
      </w:pPr>
      <w:r>
        <w:rPr>
          <w:rFonts w:hint="eastAsia"/>
          <w:color w:val="auto"/>
          <w:highlight w:val="none"/>
          <w:lang w:val="en-US" w:eastAsia="zh-CN"/>
        </w:rPr>
        <w:t>八、供应商类似业绩表及证明材料</w:t>
      </w:r>
    </w:p>
    <w:p w14:paraId="488D8193">
      <w:pPr>
        <w:pStyle w:val="6"/>
        <w:jc w:val="center"/>
        <w:rPr>
          <w:rFonts w:hint="eastAsia" w:ascii="宋体" w:hAnsi="宋体" w:eastAsia="宋体" w:cs="宋体"/>
          <w:b/>
          <w:bCs/>
          <w:color w:val="auto"/>
          <w:kern w:val="2"/>
          <w:sz w:val="36"/>
          <w:szCs w:val="32"/>
          <w:highlight w:val="none"/>
          <w:lang w:val="en-US" w:eastAsia="zh-CN" w:bidi="ar-SA"/>
        </w:rPr>
      </w:pPr>
    </w:p>
    <w:p w14:paraId="7483BBB3">
      <w:pPr>
        <w:rPr>
          <w:rFonts w:hint="eastAsia" w:ascii="宋体" w:hAnsi="宋体" w:eastAsia="宋体" w:cs="宋体"/>
          <w:b/>
          <w:bCs/>
          <w:color w:val="auto"/>
          <w:kern w:val="2"/>
          <w:sz w:val="36"/>
          <w:szCs w:val="32"/>
          <w:highlight w:val="none"/>
          <w:lang w:val="en-US" w:eastAsia="zh-CN" w:bidi="ar-SA"/>
        </w:rPr>
      </w:pPr>
    </w:p>
    <w:p w14:paraId="31CCE9E7">
      <w:pPr>
        <w:pStyle w:val="6"/>
        <w:rPr>
          <w:rFonts w:hint="eastAsia" w:ascii="宋体" w:hAnsi="宋体" w:eastAsia="宋体" w:cs="宋体"/>
          <w:b/>
          <w:bCs/>
          <w:color w:val="auto"/>
          <w:kern w:val="2"/>
          <w:sz w:val="36"/>
          <w:szCs w:val="32"/>
          <w:highlight w:val="none"/>
          <w:lang w:val="en-US" w:eastAsia="zh-CN" w:bidi="ar-SA"/>
        </w:rPr>
      </w:pPr>
    </w:p>
    <w:p w14:paraId="67D7CB76">
      <w:pPr>
        <w:rPr>
          <w:rFonts w:hint="eastAsia" w:ascii="宋体" w:hAnsi="宋体" w:eastAsia="宋体" w:cs="宋体"/>
          <w:b/>
          <w:bCs/>
          <w:color w:val="auto"/>
          <w:kern w:val="2"/>
          <w:sz w:val="36"/>
          <w:szCs w:val="32"/>
          <w:highlight w:val="none"/>
          <w:lang w:val="en-US" w:eastAsia="zh-CN" w:bidi="ar-SA"/>
        </w:rPr>
      </w:pPr>
    </w:p>
    <w:p w14:paraId="18C081A6">
      <w:pPr>
        <w:pStyle w:val="6"/>
        <w:rPr>
          <w:rFonts w:hint="eastAsia" w:ascii="宋体" w:hAnsi="宋体" w:eastAsia="宋体" w:cs="宋体"/>
          <w:b/>
          <w:bCs/>
          <w:color w:val="auto"/>
          <w:kern w:val="2"/>
          <w:sz w:val="36"/>
          <w:szCs w:val="32"/>
          <w:highlight w:val="none"/>
          <w:lang w:val="en-US" w:eastAsia="zh-CN" w:bidi="ar-SA"/>
        </w:rPr>
      </w:pPr>
    </w:p>
    <w:p w14:paraId="35D68769">
      <w:pPr>
        <w:rPr>
          <w:rFonts w:hint="eastAsia" w:ascii="宋体" w:hAnsi="宋体" w:eastAsia="宋体" w:cs="宋体"/>
          <w:b/>
          <w:bCs/>
          <w:color w:val="auto"/>
          <w:kern w:val="2"/>
          <w:sz w:val="36"/>
          <w:szCs w:val="32"/>
          <w:highlight w:val="none"/>
          <w:lang w:val="en-US" w:eastAsia="zh-CN" w:bidi="ar-SA"/>
        </w:rPr>
      </w:pPr>
    </w:p>
    <w:p w14:paraId="300C1338">
      <w:pPr>
        <w:pStyle w:val="6"/>
        <w:rPr>
          <w:rFonts w:hint="eastAsia" w:ascii="宋体" w:hAnsi="宋体" w:eastAsia="宋体" w:cs="宋体"/>
          <w:b/>
          <w:bCs/>
          <w:color w:val="auto"/>
          <w:kern w:val="2"/>
          <w:sz w:val="36"/>
          <w:szCs w:val="32"/>
          <w:highlight w:val="none"/>
          <w:lang w:val="en-US" w:eastAsia="zh-CN" w:bidi="ar-SA"/>
        </w:rPr>
      </w:pPr>
    </w:p>
    <w:p w14:paraId="7596453D">
      <w:pPr>
        <w:rPr>
          <w:rFonts w:hint="eastAsia" w:ascii="宋体" w:hAnsi="宋体" w:eastAsia="宋体" w:cs="宋体"/>
          <w:b/>
          <w:bCs/>
          <w:color w:val="auto"/>
          <w:kern w:val="2"/>
          <w:sz w:val="36"/>
          <w:szCs w:val="32"/>
          <w:highlight w:val="none"/>
          <w:lang w:val="en-US" w:eastAsia="zh-CN" w:bidi="ar-SA"/>
        </w:rPr>
      </w:pPr>
    </w:p>
    <w:p w14:paraId="62996E49">
      <w:pPr>
        <w:pStyle w:val="6"/>
        <w:rPr>
          <w:rFonts w:hint="eastAsia" w:ascii="宋体" w:hAnsi="宋体" w:eastAsia="宋体" w:cs="宋体"/>
          <w:b/>
          <w:bCs/>
          <w:color w:val="auto"/>
          <w:kern w:val="2"/>
          <w:sz w:val="36"/>
          <w:szCs w:val="32"/>
          <w:highlight w:val="none"/>
          <w:lang w:val="en-US" w:eastAsia="zh-CN" w:bidi="ar-SA"/>
        </w:rPr>
      </w:pPr>
    </w:p>
    <w:p w14:paraId="05F21B2D">
      <w:pPr>
        <w:rPr>
          <w:rFonts w:hint="eastAsia" w:ascii="宋体" w:hAnsi="宋体" w:eastAsia="宋体" w:cs="宋体"/>
          <w:b/>
          <w:bCs/>
          <w:color w:val="auto"/>
          <w:kern w:val="2"/>
          <w:sz w:val="36"/>
          <w:szCs w:val="32"/>
          <w:highlight w:val="none"/>
          <w:lang w:val="en-US" w:eastAsia="zh-CN" w:bidi="ar-SA"/>
        </w:rPr>
      </w:pPr>
    </w:p>
    <w:p w14:paraId="3FD633DD">
      <w:pPr>
        <w:pStyle w:val="6"/>
        <w:rPr>
          <w:rFonts w:hint="eastAsia" w:ascii="宋体" w:hAnsi="宋体" w:eastAsia="宋体" w:cs="宋体"/>
          <w:b/>
          <w:bCs/>
          <w:color w:val="auto"/>
          <w:kern w:val="2"/>
          <w:sz w:val="36"/>
          <w:szCs w:val="32"/>
          <w:highlight w:val="none"/>
          <w:lang w:val="en-US" w:eastAsia="zh-CN" w:bidi="ar-SA"/>
        </w:rPr>
      </w:pPr>
    </w:p>
    <w:p w14:paraId="19325E84">
      <w:pPr>
        <w:rPr>
          <w:rFonts w:hint="eastAsia" w:ascii="宋体" w:hAnsi="宋体" w:eastAsia="宋体" w:cs="宋体"/>
          <w:b/>
          <w:bCs/>
          <w:color w:val="auto"/>
          <w:kern w:val="2"/>
          <w:sz w:val="36"/>
          <w:szCs w:val="32"/>
          <w:highlight w:val="none"/>
          <w:lang w:val="en-US" w:eastAsia="zh-CN" w:bidi="ar-SA"/>
        </w:rPr>
      </w:pPr>
    </w:p>
    <w:p w14:paraId="188C8D44">
      <w:pPr>
        <w:pStyle w:val="6"/>
        <w:rPr>
          <w:rFonts w:hint="eastAsia"/>
          <w:color w:val="auto"/>
          <w:highlight w:val="none"/>
          <w:lang w:val="en-US" w:eastAsia="zh-CN"/>
        </w:rPr>
      </w:pPr>
    </w:p>
    <w:p w14:paraId="013A1C4F">
      <w:pPr>
        <w:rPr>
          <w:rFonts w:hint="eastAsia" w:ascii="宋体" w:hAnsi="宋体" w:eastAsia="宋体" w:cs="宋体"/>
          <w:b/>
          <w:bCs/>
          <w:color w:val="auto"/>
          <w:kern w:val="2"/>
          <w:sz w:val="36"/>
          <w:szCs w:val="32"/>
          <w:highlight w:val="none"/>
          <w:lang w:val="en-US" w:eastAsia="zh-CN" w:bidi="ar-SA"/>
        </w:rPr>
      </w:pPr>
    </w:p>
    <w:p w14:paraId="09B976B9">
      <w:pPr>
        <w:pStyle w:val="6"/>
        <w:rPr>
          <w:rFonts w:hint="eastAsia"/>
          <w:color w:val="auto"/>
          <w:highlight w:val="none"/>
          <w:lang w:val="en-US" w:eastAsia="zh-CN"/>
        </w:rPr>
      </w:pPr>
      <w:r>
        <w:rPr>
          <w:rFonts w:hint="eastAsia"/>
          <w:color w:val="auto"/>
          <w:highlight w:val="none"/>
          <w:lang w:val="en-US" w:eastAsia="zh-CN"/>
        </w:rPr>
        <w:t>九、供应商认为应提供的其他资料</w:t>
      </w:r>
    </w:p>
    <w:p w14:paraId="2FEB23A0">
      <w:pPr>
        <w:pStyle w:val="6"/>
        <w:rPr>
          <w:rFonts w:hint="eastAsia"/>
          <w:color w:val="auto"/>
          <w:highlight w:val="none"/>
          <w:lang w:val="en-US" w:eastAsia="zh-CN"/>
        </w:rPr>
      </w:pPr>
      <w:r>
        <w:rPr>
          <w:rFonts w:hint="eastAsia"/>
          <w:color w:val="auto"/>
          <w:highlight w:val="none"/>
          <w:lang w:val="en-US" w:eastAsia="zh-CN"/>
        </w:rPr>
        <w:t>格式自拟</w:t>
      </w:r>
    </w:p>
    <w:p w14:paraId="67395DBB">
      <w:pPr>
        <w:pStyle w:val="6"/>
        <w:rPr>
          <w:rFonts w:hint="eastAsia" w:ascii="宋体" w:hAnsi="宋体" w:eastAsia="宋体" w:cs="宋体"/>
          <w:b/>
          <w:bCs/>
          <w:color w:val="auto"/>
          <w:kern w:val="2"/>
          <w:sz w:val="36"/>
          <w:szCs w:val="32"/>
          <w:highlight w:val="none"/>
          <w:lang w:val="en-US" w:eastAsia="zh-CN" w:bidi="ar-SA"/>
        </w:rPr>
      </w:pPr>
    </w:p>
    <w:p w14:paraId="3D787249">
      <w:pPr>
        <w:rPr>
          <w:rFonts w:hint="eastAsia" w:ascii="宋体" w:hAnsi="宋体" w:eastAsia="宋体" w:cs="宋体"/>
          <w:b/>
          <w:bCs/>
          <w:color w:val="auto"/>
          <w:kern w:val="2"/>
          <w:sz w:val="36"/>
          <w:szCs w:val="32"/>
          <w:highlight w:val="none"/>
          <w:lang w:val="en-US" w:eastAsia="zh-CN" w:bidi="ar-SA"/>
        </w:rPr>
      </w:pPr>
    </w:p>
    <w:p w14:paraId="16E77D95">
      <w:pPr>
        <w:pStyle w:val="6"/>
        <w:rPr>
          <w:rFonts w:hint="eastAsia" w:ascii="宋体" w:hAnsi="宋体" w:eastAsia="宋体" w:cs="宋体"/>
          <w:b/>
          <w:bCs/>
          <w:color w:val="auto"/>
          <w:kern w:val="2"/>
          <w:sz w:val="36"/>
          <w:szCs w:val="32"/>
          <w:highlight w:val="none"/>
          <w:lang w:val="en-US" w:eastAsia="zh-CN" w:bidi="ar-SA"/>
        </w:rPr>
      </w:pPr>
    </w:p>
    <w:p w14:paraId="3B346839">
      <w:pPr>
        <w:rPr>
          <w:rFonts w:hint="eastAsia" w:ascii="宋体" w:hAnsi="宋体" w:eastAsia="宋体" w:cs="宋体"/>
          <w:b/>
          <w:bCs/>
          <w:color w:val="auto"/>
          <w:kern w:val="2"/>
          <w:sz w:val="36"/>
          <w:szCs w:val="32"/>
          <w:highlight w:val="none"/>
          <w:lang w:val="en-US" w:eastAsia="zh-CN" w:bidi="ar-SA"/>
        </w:rPr>
      </w:pPr>
    </w:p>
    <w:p w14:paraId="5B7A8C73">
      <w:pPr>
        <w:pStyle w:val="6"/>
        <w:rPr>
          <w:rFonts w:hint="eastAsia" w:ascii="宋体" w:hAnsi="宋体" w:eastAsia="宋体" w:cs="宋体"/>
          <w:b/>
          <w:bCs/>
          <w:color w:val="auto"/>
          <w:kern w:val="2"/>
          <w:sz w:val="36"/>
          <w:szCs w:val="32"/>
          <w:highlight w:val="none"/>
          <w:lang w:val="en-US" w:eastAsia="zh-CN" w:bidi="ar-SA"/>
        </w:rPr>
      </w:pPr>
    </w:p>
    <w:p w14:paraId="4E270C5F">
      <w:pPr>
        <w:rPr>
          <w:rFonts w:hint="eastAsia" w:ascii="宋体" w:hAnsi="宋体" w:eastAsia="宋体" w:cs="宋体"/>
          <w:b/>
          <w:bCs/>
          <w:color w:val="auto"/>
          <w:kern w:val="2"/>
          <w:sz w:val="36"/>
          <w:szCs w:val="32"/>
          <w:highlight w:val="none"/>
          <w:lang w:val="en-US" w:eastAsia="zh-CN" w:bidi="ar-SA"/>
        </w:rPr>
      </w:pPr>
    </w:p>
    <w:p w14:paraId="6A79732D">
      <w:pPr>
        <w:pStyle w:val="6"/>
        <w:rPr>
          <w:rFonts w:hint="eastAsia" w:ascii="宋体" w:hAnsi="宋体" w:eastAsia="宋体" w:cs="宋体"/>
          <w:b/>
          <w:bCs/>
          <w:color w:val="auto"/>
          <w:kern w:val="2"/>
          <w:sz w:val="36"/>
          <w:szCs w:val="32"/>
          <w:highlight w:val="none"/>
          <w:lang w:val="en-US" w:eastAsia="zh-CN" w:bidi="ar-SA"/>
        </w:rPr>
      </w:pPr>
    </w:p>
    <w:p w14:paraId="4FF94134">
      <w:pPr>
        <w:rPr>
          <w:rFonts w:hint="eastAsia" w:ascii="宋体" w:hAnsi="宋体" w:eastAsia="宋体" w:cs="宋体"/>
          <w:b/>
          <w:bCs/>
          <w:color w:val="auto"/>
          <w:kern w:val="2"/>
          <w:sz w:val="36"/>
          <w:szCs w:val="32"/>
          <w:highlight w:val="none"/>
          <w:lang w:val="en-US" w:eastAsia="zh-CN" w:bidi="ar-SA"/>
        </w:rPr>
      </w:pPr>
    </w:p>
    <w:p w14:paraId="51AFCEB2">
      <w:pPr>
        <w:pStyle w:val="6"/>
        <w:rPr>
          <w:rFonts w:hint="eastAsia" w:ascii="宋体" w:hAnsi="宋体" w:eastAsia="宋体" w:cs="宋体"/>
          <w:b/>
          <w:bCs/>
          <w:color w:val="auto"/>
          <w:kern w:val="2"/>
          <w:sz w:val="36"/>
          <w:szCs w:val="32"/>
          <w:highlight w:val="none"/>
          <w:lang w:val="en-US" w:eastAsia="zh-CN" w:bidi="ar-SA"/>
        </w:rPr>
      </w:pPr>
    </w:p>
    <w:p w14:paraId="79D640D5">
      <w:pPr>
        <w:rPr>
          <w:rFonts w:hint="eastAsia" w:ascii="宋体" w:hAnsi="宋体" w:eastAsia="宋体" w:cs="宋体"/>
          <w:b/>
          <w:bCs/>
          <w:color w:val="auto"/>
          <w:kern w:val="2"/>
          <w:sz w:val="36"/>
          <w:szCs w:val="32"/>
          <w:highlight w:val="none"/>
          <w:lang w:val="en-US" w:eastAsia="zh-CN" w:bidi="ar-SA"/>
        </w:rPr>
      </w:pPr>
    </w:p>
    <w:p w14:paraId="3E3227A4">
      <w:pPr>
        <w:pStyle w:val="6"/>
        <w:rPr>
          <w:rFonts w:hint="eastAsia" w:ascii="宋体" w:hAnsi="宋体" w:eastAsia="宋体" w:cs="宋体"/>
          <w:b/>
          <w:bCs/>
          <w:color w:val="auto"/>
          <w:kern w:val="2"/>
          <w:sz w:val="36"/>
          <w:szCs w:val="32"/>
          <w:highlight w:val="none"/>
          <w:lang w:val="en-US" w:eastAsia="zh-CN" w:bidi="ar-SA"/>
        </w:rPr>
      </w:pPr>
    </w:p>
    <w:p w14:paraId="6B7567DF">
      <w:pPr>
        <w:rPr>
          <w:rFonts w:hint="eastAsia"/>
          <w:color w:val="auto"/>
          <w:highlight w:val="none"/>
          <w:lang w:val="en-US" w:eastAsia="zh-CN"/>
        </w:rPr>
      </w:pPr>
    </w:p>
    <w:p w14:paraId="397FE181">
      <w:pPr>
        <w:rPr>
          <w:rFonts w:hint="eastAsia"/>
          <w:color w:val="auto"/>
          <w:highlight w:val="none"/>
          <w:lang w:val="en-US" w:eastAsia="zh-CN"/>
        </w:rPr>
      </w:pPr>
    </w:p>
    <w:p w14:paraId="43A5FA8B">
      <w:pPr>
        <w:pStyle w:val="6"/>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第四章  评分办法</w:t>
      </w:r>
    </w:p>
    <w:p w14:paraId="64D691A8">
      <w:pPr>
        <w:pStyle w:val="4"/>
        <w:bidi w:val="0"/>
        <w:ind w:left="0" w:leftChars="0" w:firstLine="0" w:firstLineChars="0"/>
        <w:jc w:val="center"/>
        <w:rPr>
          <w:rFonts w:hint="eastAsia" w:ascii="仿宋" w:hAnsi="仿宋" w:eastAsia="仿宋" w:cs="仿宋"/>
          <w:b/>
          <w:bCs/>
          <w:color w:val="auto"/>
          <w:kern w:val="2"/>
          <w:sz w:val="36"/>
          <w:szCs w:val="36"/>
          <w:highlight w:val="none"/>
          <w:shd w:val="clear" w:color="auto" w:fill="FFFFFF"/>
          <w:lang w:val="en-US" w:eastAsia="zh-CN" w:bidi="ar-SA"/>
        </w:rPr>
      </w:pPr>
    </w:p>
    <w:p w14:paraId="762445B4">
      <w:pPr>
        <w:snapToGrid w:val="0"/>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1、资格审查：本项目供应商的资格条件在磋商时进行审查。供应商应在磋商响应文件中按磋商文件的规定和要求附上所有的资格证明文件，要求提供的复印件必须加盖单位印章（鲜章），授权委托书必须提供授权单位原件（鲜章）并按上述顺序装订。若提供的资格证明文件不全或不实，将导致其磋商或成交资格被取消。</w:t>
      </w:r>
    </w:p>
    <w:p w14:paraId="6B2CFAC3">
      <w:pPr>
        <w:spacing w:line="440" w:lineRule="exact"/>
        <w:ind w:firstLine="640" w:firstLineChars="200"/>
        <w:rPr>
          <w:rFonts w:hint="eastAsia" w:ascii="仿宋" w:hAnsi="仿宋" w:eastAsia="仿宋" w:cs="仿宋"/>
          <w:b w:val="0"/>
          <w:color w:val="auto"/>
          <w:kern w:val="2"/>
          <w:sz w:val="32"/>
          <w:szCs w:val="32"/>
          <w:highlight w:val="none"/>
          <w:shd w:val="clear" w:color="auto" w:fill="FFFFFF"/>
          <w:lang w:val="en-US" w:eastAsia="zh-CN" w:bidi="ar-SA"/>
        </w:rPr>
      </w:pPr>
      <w:r>
        <w:rPr>
          <w:rFonts w:hint="eastAsia" w:ascii="仿宋" w:hAnsi="仿宋" w:eastAsia="仿宋" w:cs="仿宋"/>
          <w:b w:val="0"/>
          <w:color w:val="auto"/>
          <w:kern w:val="2"/>
          <w:sz w:val="32"/>
          <w:szCs w:val="32"/>
          <w:highlight w:val="none"/>
          <w:shd w:val="clear" w:color="auto" w:fill="FFFFFF"/>
          <w:lang w:val="en-US" w:eastAsia="zh-CN" w:bidi="ar-SA"/>
        </w:rPr>
        <w:t>2、成交供应商确定方法：本项目磋商方法为综合评分法。评分因素主要有：报价、服务方案、履约及其它要求等，请各供货商尽量提供详尽的证明材料。综合评分明细表如下：</w:t>
      </w:r>
    </w:p>
    <w:p w14:paraId="0A9C2E36">
      <w:pPr>
        <w:rPr>
          <w:rFonts w:hint="eastAsia" w:ascii="楷体" w:hAnsi="楷体" w:eastAsia="楷体" w:cs="楷体"/>
          <w:color w:val="auto"/>
          <w:sz w:val="24"/>
          <w:szCs w:val="24"/>
          <w:highlight w:val="none"/>
          <w:lang w:val="en-US" w:eastAsia="zh-CN"/>
        </w:rPr>
      </w:pPr>
    </w:p>
    <w:tbl>
      <w:tblPr>
        <w:tblStyle w:val="16"/>
        <w:tblW w:w="8417" w:type="dxa"/>
        <w:jc w:val="center"/>
        <w:tblLayout w:type="fixed"/>
        <w:tblCellMar>
          <w:top w:w="0" w:type="dxa"/>
          <w:left w:w="0" w:type="dxa"/>
          <w:bottom w:w="0" w:type="dxa"/>
          <w:right w:w="0" w:type="dxa"/>
        </w:tblCellMar>
      </w:tblPr>
      <w:tblGrid>
        <w:gridCol w:w="511"/>
        <w:gridCol w:w="1297"/>
        <w:gridCol w:w="715"/>
        <w:gridCol w:w="5054"/>
        <w:gridCol w:w="840"/>
      </w:tblGrid>
      <w:tr w14:paraId="36188EB9">
        <w:tblPrEx>
          <w:tblCellMar>
            <w:top w:w="0" w:type="dxa"/>
            <w:left w:w="0" w:type="dxa"/>
            <w:bottom w:w="0" w:type="dxa"/>
            <w:right w:w="0" w:type="dxa"/>
          </w:tblCellMar>
        </w:tblPrEx>
        <w:trPr>
          <w:trHeight w:val="640"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C91B9">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5ECBA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评分因素及权重</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A1F83F">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分值</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8FCC44">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评分标准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7F8C7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r>
      <w:tr w14:paraId="03E96F7B">
        <w:tblPrEx>
          <w:tblCellMar>
            <w:top w:w="0" w:type="dxa"/>
            <w:left w:w="0" w:type="dxa"/>
            <w:bottom w:w="0" w:type="dxa"/>
            <w:right w:w="0" w:type="dxa"/>
          </w:tblCellMar>
        </w:tblPrEx>
        <w:trPr>
          <w:trHeight w:val="2188" w:hRule="atLeast"/>
          <w:jc w:val="center"/>
        </w:trPr>
        <w:tc>
          <w:tcPr>
            <w:tcW w:w="511" w:type="dxa"/>
            <w:tcBorders>
              <w:top w:val="nil"/>
              <w:left w:val="single" w:color="auto" w:sz="8" w:space="0"/>
              <w:right w:val="single" w:color="auto" w:sz="8" w:space="0"/>
            </w:tcBorders>
            <w:tcMar>
              <w:top w:w="0" w:type="dxa"/>
              <w:left w:w="108" w:type="dxa"/>
              <w:bottom w:w="0" w:type="dxa"/>
              <w:right w:w="108" w:type="dxa"/>
            </w:tcMar>
            <w:vAlign w:val="center"/>
          </w:tcPr>
          <w:p w14:paraId="72E5F9EA">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1297" w:type="dxa"/>
            <w:tcBorders>
              <w:top w:val="nil"/>
              <w:left w:val="nil"/>
              <w:right w:val="single" w:color="auto" w:sz="8" w:space="0"/>
            </w:tcBorders>
            <w:tcMar>
              <w:top w:w="0" w:type="dxa"/>
              <w:left w:w="108" w:type="dxa"/>
              <w:bottom w:w="0" w:type="dxa"/>
              <w:right w:w="108" w:type="dxa"/>
            </w:tcMar>
            <w:vAlign w:val="center"/>
          </w:tcPr>
          <w:p w14:paraId="108C67AE">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报价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p>
        </w:tc>
        <w:tc>
          <w:tcPr>
            <w:tcW w:w="71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7A33F1">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0501E">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以本次有效的最低磋商报价为基准价，供应商报价得分=（基准价／磋商评审价）*</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分*100%。</w:t>
            </w:r>
          </w:p>
        </w:tc>
        <w:tc>
          <w:tcPr>
            <w:tcW w:w="840" w:type="dxa"/>
            <w:tcBorders>
              <w:top w:val="nil"/>
              <w:left w:val="nil"/>
              <w:right w:val="single" w:color="auto" w:sz="8" w:space="0"/>
            </w:tcBorders>
            <w:tcMar>
              <w:top w:w="0" w:type="dxa"/>
              <w:left w:w="108" w:type="dxa"/>
              <w:bottom w:w="0" w:type="dxa"/>
              <w:right w:w="108" w:type="dxa"/>
            </w:tcMar>
            <w:vAlign w:val="center"/>
          </w:tcPr>
          <w:p w14:paraId="306B260E">
            <w:pPr>
              <w:ind w:left="-38"/>
              <w:rPr>
                <w:rFonts w:hint="eastAsia" w:ascii="仿宋" w:hAnsi="仿宋" w:eastAsia="仿宋" w:cs="仿宋"/>
                <w:sz w:val="32"/>
                <w:szCs w:val="32"/>
                <w:highlight w:val="none"/>
              </w:rPr>
            </w:pPr>
          </w:p>
        </w:tc>
      </w:tr>
      <w:tr w14:paraId="3753FA9C">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4A62C">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C15D90">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val="en-US" w:eastAsia="zh-CN"/>
              </w:rPr>
              <w:t>方案40</w:t>
            </w:r>
            <w:r>
              <w:rPr>
                <w:rFonts w:hint="eastAsia" w:ascii="仿宋" w:hAnsi="仿宋" w:eastAsia="仿宋" w:cs="仿宋"/>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296EB">
            <w:pPr>
              <w:tabs>
                <w:tab w:val="left" w:pos="600"/>
              </w:tabs>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 xml:space="preserve">分 </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D198CA">
            <w:pPr>
              <w:spacing w:line="400" w:lineRule="exact"/>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完全满足本项目“服务要求”内容的得</w:t>
            </w:r>
            <w:r>
              <w:rPr>
                <w:rFonts w:hint="eastAsia" w:ascii="仿宋" w:hAnsi="仿宋" w:eastAsia="仿宋" w:cs="仿宋"/>
                <w:sz w:val="32"/>
                <w:szCs w:val="32"/>
                <w:highlight w:val="none"/>
                <w:lang w:val="en-US" w:eastAsia="zh-CN"/>
              </w:rPr>
              <w:t>35</w:t>
            </w:r>
            <w:r>
              <w:rPr>
                <w:rFonts w:hint="eastAsia" w:ascii="仿宋" w:hAnsi="仿宋" w:eastAsia="仿宋" w:cs="仿宋"/>
                <w:sz w:val="32"/>
                <w:szCs w:val="32"/>
                <w:highlight w:val="none"/>
              </w:rPr>
              <w:t>分，一项不满足扣</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扣完为止；</w:t>
            </w:r>
            <w:r>
              <w:rPr>
                <w:rFonts w:hint="eastAsia" w:ascii="仿宋" w:hAnsi="仿宋" w:eastAsia="仿宋" w:cs="仿宋"/>
                <w:sz w:val="32"/>
                <w:szCs w:val="32"/>
                <w:highlight w:val="none"/>
              </w:rPr>
              <w:t>有优于服务要求的项目每项加1分，最多加</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594360">
            <w:pPr>
              <w:tabs>
                <w:tab w:val="left" w:pos="600"/>
              </w:tabs>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tc>
      </w:tr>
      <w:tr w14:paraId="742B9B94">
        <w:tblPrEx>
          <w:tblCellMar>
            <w:top w:w="0" w:type="dxa"/>
            <w:left w:w="0" w:type="dxa"/>
            <w:bottom w:w="0" w:type="dxa"/>
            <w:right w:w="0" w:type="dxa"/>
          </w:tblCellMar>
        </w:tblPrEx>
        <w:trPr>
          <w:trHeight w:val="814"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580922">
            <w:pPr>
              <w:tabs>
                <w:tab w:val="left" w:pos="600"/>
              </w:tabs>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9EFA1E">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应急服务能力10%</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68D03">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212DD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供应商电梯零部件库存丰富（提供了库存照片、三项以上主要部件厂家合作证明等文件）；供应商完全具备紧急配件应急处理能力（提供了客观可靠的证明材料）；得 </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 分。</w:t>
            </w:r>
          </w:p>
          <w:p w14:paraId="605868BB">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供应商电梯零部件库存丰富（提供了证明等文件）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供应商基本具备紧急配件应急处理能力（提供了证明材料）；得 </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-7 分。</w:t>
            </w:r>
          </w:p>
          <w:p w14:paraId="66C2571E">
            <w:pPr>
              <w:spacing w:line="40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供应商有电梯零部件库存（提供了证明等文件）；供应商不具备紧急配件应急处理能力（提供了证明材料）；得 0</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A3F094">
            <w:pPr>
              <w:tabs>
                <w:tab w:val="left" w:pos="600"/>
              </w:tabs>
              <w:rPr>
                <w:rFonts w:hint="eastAsia" w:ascii="仿宋" w:hAnsi="仿宋" w:eastAsia="仿宋" w:cs="仿宋"/>
                <w:sz w:val="32"/>
                <w:szCs w:val="32"/>
                <w:highlight w:val="none"/>
              </w:rPr>
            </w:pPr>
          </w:p>
        </w:tc>
      </w:tr>
      <w:tr w14:paraId="4F25F106">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12C1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6B9C19">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履约能力</w:t>
            </w:r>
            <w:r>
              <w:rPr>
                <w:rFonts w:hint="eastAsia" w:ascii="仿宋" w:hAnsi="仿宋" w:eastAsia="仿宋" w:cs="仿宋"/>
                <w:sz w:val="32"/>
                <w:szCs w:val="32"/>
                <w:highlight w:val="none"/>
                <w:lang w:val="en-US" w:eastAsia="zh-CN"/>
              </w:rPr>
              <w:t>20</w:t>
            </w:r>
            <w:r>
              <w:rPr>
                <w:rFonts w:hint="eastAsia" w:ascii="仿宋" w:hAnsi="仿宋" w:eastAsia="仿宋" w:cs="仿宋"/>
                <w:kern w:val="0"/>
                <w:sz w:val="32"/>
                <w:szCs w:val="32"/>
                <w:highlight w:val="none"/>
              </w:rPr>
              <w:t>%</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5B678E">
            <w:pPr>
              <w:tabs>
                <w:tab w:val="left" w:pos="600"/>
              </w:tabs>
              <w:jc w:val="center"/>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7A4957">
            <w:pPr>
              <w:tabs>
                <w:tab w:val="left" w:pos="600"/>
              </w:tabs>
              <w:spacing w:line="40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1.供应商拟派本项目的技术人员：需持有中华人民共和国特种设备安全管理和作业人员证（项目代号：T），且在项目所在地的市场监督管理局备案的每个证得2分，最多得</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分。（提供证件复印件和备案表复印件）</w:t>
            </w:r>
          </w:p>
          <w:p w14:paraId="08887DC8">
            <w:pPr>
              <w:tabs>
                <w:tab w:val="left" w:pos="600"/>
              </w:tabs>
              <w:spacing w:line="400" w:lineRule="exact"/>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2.供应商20</w:t>
            </w:r>
            <w:r>
              <w:rPr>
                <w:rFonts w:hint="eastAsia" w:ascii="仿宋" w:hAnsi="仿宋" w:eastAsia="仿宋" w:cs="仿宋"/>
                <w:color w:val="000000" w:themeColor="text1"/>
                <w:sz w:val="32"/>
                <w:szCs w:val="32"/>
                <w:highlight w:val="none"/>
                <w:lang w:val="en-US" w:eastAsia="zh-CN"/>
                <w14:textFill>
                  <w14:solidFill>
                    <w14:schemeClr w14:val="tx1"/>
                  </w14:solidFill>
                </w14:textFill>
              </w:rPr>
              <w:t>23</w:t>
            </w:r>
            <w:r>
              <w:rPr>
                <w:rFonts w:hint="eastAsia" w:ascii="仿宋" w:hAnsi="仿宋" w:eastAsia="仿宋" w:cs="仿宋"/>
                <w:color w:val="000000" w:themeColor="text1"/>
                <w:sz w:val="32"/>
                <w:szCs w:val="32"/>
                <w:highlight w:val="none"/>
                <w14:textFill>
                  <w14:solidFill>
                    <w14:schemeClr w14:val="tx1"/>
                  </w14:solidFill>
                </w14:textFill>
              </w:rPr>
              <w:t>年至今具有类似项目经验的一个得2分，每增加一个类似项目经验加2分，最多得10分。（以中标/成交通知书或合同复印件为准）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4B9960">
            <w:pPr>
              <w:spacing w:line="480" w:lineRule="exact"/>
              <w:rPr>
                <w:rFonts w:hint="eastAsia" w:ascii="仿宋" w:hAnsi="仿宋" w:eastAsia="仿宋" w:cs="仿宋"/>
                <w:sz w:val="32"/>
                <w:szCs w:val="32"/>
                <w:highlight w:val="none"/>
              </w:rPr>
            </w:pPr>
          </w:p>
        </w:tc>
      </w:tr>
      <w:tr w14:paraId="4797F684">
        <w:tblPrEx>
          <w:tblCellMar>
            <w:top w:w="0" w:type="dxa"/>
            <w:left w:w="0" w:type="dxa"/>
            <w:bottom w:w="0" w:type="dxa"/>
            <w:right w:w="0" w:type="dxa"/>
          </w:tblCellMar>
        </w:tblPrEx>
        <w:trPr>
          <w:trHeight w:val="3197" w:hRule="atLeast"/>
          <w:jc w:val="center"/>
        </w:trPr>
        <w:tc>
          <w:tcPr>
            <w:tcW w:w="5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EE05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p>
        </w:tc>
        <w:tc>
          <w:tcPr>
            <w:tcW w:w="129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45E89FA">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本地化服务能力</w:t>
            </w:r>
          </w:p>
        </w:tc>
        <w:tc>
          <w:tcPr>
            <w:tcW w:w="7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DDBB16">
            <w:pPr>
              <w:tabs>
                <w:tab w:val="left" w:pos="600"/>
              </w:tabs>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10分</w:t>
            </w:r>
          </w:p>
        </w:tc>
        <w:tc>
          <w:tcPr>
            <w:tcW w:w="50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54B88A">
            <w:pPr>
              <w:tabs>
                <w:tab w:val="left" w:pos="600"/>
              </w:tabs>
              <w:spacing w:line="400" w:lineRule="exact"/>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在梓潼县城区设有固定的24小时值班电话的服务站点或办公场所，并提供证明材料（如租房合同或房产证等），提供了证明材料得10分。</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CBA9217">
            <w:pPr>
              <w:spacing w:line="480" w:lineRule="exact"/>
              <w:rPr>
                <w:rFonts w:hint="eastAsia" w:ascii="仿宋" w:hAnsi="仿宋" w:eastAsia="仿宋" w:cs="仿宋"/>
                <w:sz w:val="32"/>
                <w:szCs w:val="32"/>
                <w:highlight w:val="none"/>
              </w:rPr>
            </w:pPr>
          </w:p>
        </w:tc>
      </w:tr>
    </w:tbl>
    <w:p w14:paraId="0D00709F">
      <w:pPr>
        <w:pStyle w:val="6"/>
        <w:jc w:val="center"/>
        <w:rPr>
          <w:rFonts w:hint="eastAsia" w:ascii="宋体" w:hAnsi="宋体" w:eastAsia="宋体" w:cs="宋体"/>
          <w:b/>
          <w:bCs/>
          <w:color w:val="auto"/>
          <w:kern w:val="2"/>
          <w:sz w:val="36"/>
          <w:szCs w:val="32"/>
          <w:highlight w:val="none"/>
          <w:lang w:val="en-US" w:eastAsia="zh-CN" w:bidi="ar-SA"/>
        </w:rPr>
      </w:pPr>
    </w:p>
    <w:p w14:paraId="0505D680">
      <w:pPr>
        <w:pStyle w:val="7"/>
        <w:bidi w:val="0"/>
        <w:rPr>
          <w:rFonts w:hint="eastAsia"/>
          <w:color w:val="auto"/>
          <w:highlight w:val="none"/>
          <w:lang w:val="en-US" w:eastAsia="zh-CN"/>
        </w:rPr>
      </w:pPr>
    </w:p>
    <w:p w14:paraId="665D5118">
      <w:pPr>
        <w:rPr>
          <w:rFonts w:hint="eastAsia"/>
          <w:color w:val="auto"/>
          <w:highlight w:val="none"/>
          <w:lang w:val="en-US" w:eastAsia="zh-CN"/>
        </w:rPr>
      </w:pPr>
    </w:p>
    <w:p w14:paraId="2E2D9BDF">
      <w:pPr>
        <w:pStyle w:val="6"/>
        <w:jc w:val="center"/>
        <w:rPr>
          <w:rFonts w:hint="default" w:ascii="宋体" w:hAnsi="宋体" w:eastAsia="宋体" w:cs="宋体"/>
          <w:b/>
          <w:bCs/>
          <w:color w:val="auto"/>
          <w:kern w:val="2"/>
          <w:sz w:val="36"/>
          <w:szCs w:val="32"/>
          <w:highlight w:val="none"/>
          <w:lang w:val="en-US" w:eastAsia="zh-CN" w:bidi="ar-SA"/>
        </w:rPr>
      </w:pPr>
      <w:r>
        <w:rPr>
          <w:rFonts w:hint="eastAsia" w:ascii="宋体" w:hAnsi="宋体" w:eastAsia="宋体" w:cs="宋体"/>
          <w:b/>
          <w:bCs/>
          <w:color w:val="auto"/>
          <w:kern w:val="2"/>
          <w:sz w:val="36"/>
          <w:szCs w:val="32"/>
          <w:highlight w:val="none"/>
          <w:lang w:val="en-US" w:eastAsia="zh-CN" w:bidi="ar-SA"/>
        </w:rPr>
        <w:t>第五章  合同模板</w:t>
      </w:r>
    </w:p>
    <w:p w14:paraId="437D0192">
      <w:pPr>
        <w:spacing w:line="360" w:lineRule="auto"/>
        <w:jc w:val="center"/>
        <w:rPr>
          <w:rFonts w:hint="eastAsia" w:ascii="宋体" w:hAnsi="宋体" w:eastAsia="宋体" w:cs="宋体"/>
          <w:color w:val="auto"/>
          <w:sz w:val="24"/>
          <w:szCs w:val="24"/>
          <w:highlight w:val="none"/>
        </w:rPr>
      </w:pPr>
      <w:bookmarkStart w:id="19" w:name="_Toc2611"/>
      <w:bookmarkStart w:id="20" w:name="_Toc28142"/>
      <w:bookmarkStart w:id="21" w:name="_Toc8757"/>
      <w:r>
        <w:rPr>
          <w:rFonts w:hint="eastAsia" w:hAnsi="宋体" w:cs="宋体"/>
          <w:color w:val="auto"/>
          <w:sz w:val="24"/>
          <w:szCs w:val="24"/>
          <w:highlight w:val="none"/>
        </w:rPr>
        <w:t>（以下合同内容仅为参考格式及条款，实际签订的合同内容可能发生变化。）</w:t>
      </w:r>
      <w:bookmarkEnd w:id="19"/>
      <w:bookmarkEnd w:id="20"/>
      <w:bookmarkEnd w:id="21"/>
    </w:p>
    <w:p w14:paraId="4F1F48AA">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甲方（委托方）               乙方（受托方）</w:t>
      </w:r>
    </w:p>
    <w:p w14:paraId="780E70C9">
      <w:pPr>
        <w:spacing w:line="360" w:lineRule="auto"/>
        <w:ind w:left="6240" w:hanging="8320" w:hangingChars="2600"/>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单位名称：（章）</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 xml:space="preserve">   单位名称：（章）</w:t>
      </w:r>
      <w:r>
        <w:rPr>
          <w:rFonts w:hint="eastAsia" w:ascii="仿宋" w:hAnsi="仿宋" w:eastAsia="仿宋" w:cs="仿宋"/>
          <w:color w:val="auto"/>
          <w:sz w:val="32"/>
          <w:szCs w:val="32"/>
          <w:highlight w:val="none"/>
          <w:u w:val="single"/>
          <w:lang w:val="en-US" w:eastAsia="zh-CN"/>
        </w:rPr>
        <w:t xml:space="preserve">              </w:t>
      </w:r>
    </w:p>
    <w:p w14:paraId="5B1AA021">
      <w:pPr>
        <w:spacing w:line="360" w:lineRule="auto"/>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单位地址：</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单位地址：</w:t>
      </w:r>
      <w:r>
        <w:rPr>
          <w:rFonts w:hint="eastAsia" w:ascii="仿宋" w:hAnsi="仿宋" w:eastAsia="仿宋" w:cs="仿宋"/>
          <w:color w:val="auto"/>
          <w:sz w:val="32"/>
          <w:szCs w:val="32"/>
          <w:highlight w:val="none"/>
          <w:u w:val="single"/>
          <w:lang w:val="en-US" w:eastAsia="zh-CN"/>
        </w:rPr>
        <w:t xml:space="preserve">                    </w:t>
      </w:r>
    </w:p>
    <w:p w14:paraId="41F1FF4B">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                  法定代表人:</w:t>
      </w:r>
    </w:p>
    <w:p w14:paraId="55B1FF4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法定委托人:                  法定委托人:</w:t>
      </w:r>
    </w:p>
    <w:p w14:paraId="13FEFD92">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                   联系电话：</w:t>
      </w:r>
    </w:p>
    <w:p w14:paraId="1737F9E0">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双方按照《特种设备法》的规定，遵循公平、诚实和信用的原则，共同确定以下由乙方向甲方提供的电梯产品维护、保养服务内容条款。</w:t>
      </w:r>
    </w:p>
    <w:p w14:paraId="550D1694">
      <w:pPr>
        <w:spacing w:line="360" w:lineRule="auto"/>
        <w:ind w:firstLine="48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名词解释：</w:t>
      </w:r>
    </w:p>
    <w:p w14:paraId="41483D0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“梓潼县人民医院”本合同可称为：</w:t>
      </w:r>
      <w:r>
        <w:rPr>
          <w:rFonts w:hint="eastAsia" w:ascii="仿宋" w:hAnsi="仿宋" w:eastAsia="仿宋" w:cs="仿宋"/>
          <w:color w:val="auto"/>
          <w:sz w:val="32"/>
          <w:szCs w:val="32"/>
          <w:highlight w:val="none"/>
          <w:lang w:val="en-US" w:eastAsia="zh-CN"/>
        </w:rPr>
        <w:t>委托方、</w:t>
      </w:r>
      <w:r>
        <w:rPr>
          <w:rFonts w:hint="eastAsia" w:ascii="仿宋" w:hAnsi="仿宋" w:eastAsia="仿宋" w:cs="仿宋"/>
          <w:color w:val="auto"/>
          <w:sz w:val="32"/>
          <w:szCs w:val="32"/>
          <w:highlight w:val="none"/>
        </w:rPr>
        <w:t>发包方、甲方、招标方。</w:t>
      </w:r>
    </w:p>
    <w:p w14:paraId="3178A81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”本合同中可称为：</w:t>
      </w:r>
      <w:r>
        <w:rPr>
          <w:rFonts w:hint="eastAsia" w:ascii="仿宋" w:hAnsi="仿宋" w:eastAsia="仿宋" w:cs="仿宋"/>
          <w:color w:val="auto"/>
          <w:sz w:val="32"/>
          <w:szCs w:val="32"/>
          <w:highlight w:val="none"/>
          <w:lang w:val="en-US" w:eastAsia="zh-CN"/>
        </w:rPr>
        <w:t>受</w:t>
      </w:r>
      <w:r>
        <w:rPr>
          <w:rFonts w:hint="eastAsia" w:ascii="仿宋" w:hAnsi="仿宋" w:eastAsia="仿宋" w:cs="仿宋"/>
          <w:color w:val="auto"/>
          <w:sz w:val="32"/>
          <w:szCs w:val="32"/>
          <w:highlight w:val="none"/>
        </w:rPr>
        <w:t>托方、承包方、施工方、乙方、投标方。</w:t>
      </w:r>
    </w:p>
    <w:p w14:paraId="09FBAD3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一、本合同经双方代签字并盖章后，且符合本合同第二条的前提情况下生效。</w:t>
      </w:r>
    </w:p>
    <w:p w14:paraId="5E7B849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合同内所述及的“电梯设备”是指在本合同中列出的、由甲方委托乙方保养的、通过主管部门检验合格并允许使用的各类乘客电梯、载货电梯、液压电梯、杂物电梯、自动扶梯和自动人行道等甲方设备的总称。</w:t>
      </w:r>
    </w:p>
    <w:p w14:paraId="4CF2B4B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三、服务对象</w:t>
      </w:r>
    </w:p>
    <w:p w14:paraId="34D261EC">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甲方委托乙方对位于地址</w:t>
      </w:r>
      <w:r>
        <w:rPr>
          <w:rFonts w:hint="eastAsia" w:ascii="仿宋" w:hAnsi="仿宋" w:eastAsia="仿宋" w:cs="仿宋"/>
          <w:color w:val="auto"/>
          <w:sz w:val="32"/>
          <w:szCs w:val="32"/>
          <w:highlight w:val="none"/>
          <w:u w:val="single"/>
        </w:rPr>
        <w:t>梓潼县</w:t>
      </w:r>
      <w:r>
        <w:rPr>
          <w:rFonts w:hint="eastAsia" w:ascii="仿宋" w:hAnsi="仿宋" w:eastAsia="仿宋" w:cs="仿宋"/>
          <w:color w:val="auto"/>
          <w:sz w:val="32"/>
          <w:szCs w:val="32"/>
          <w:highlight w:val="none"/>
        </w:rPr>
        <w:t>的名</w:t>
      </w:r>
      <w:r>
        <w:rPr>
          <w:rFonts w:hint="eastAsia" w:ascii="仿宋" w:hAnsi="仿宋" w:eastAsia="仿宋" w:cs="仿宋"/>
          <w:color w:val="auto"/>
          <w:sz w:val="32"/>
          <w:szCs w:val="32"/>
          <w:highlight w:val="none"/>
          <w:u w:val="single"/>
        </w:rPr>
        <w:t>为梓潼县人民医院</w:t>
      </w:r>
      <w:r>
        <w:rPr>
          <w:rFonts w:hint="eastAsia" w:ascii="仿宋" w:hAnsi="仿宋" w:eastAsia="仿宋" w:cs="仿宋"/>
          <w:color w:val="auto"/>
          <w:sz w:val="32"/>
          <w:szCs w:val="32"/>
          <w:highlight w:val="none"/>
        </w:rPr>
        <w:t>建筑物内的共计</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台电梯设备提供维护、保养服务。</w:t>
      </w:r>
    </w:p>
    <w:p w14:paraId="0EC79CE3">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服务期限</w:t>
      </w:r>
    </w:p>
    <w:p w14:paraId="1E1AFC69">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自</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日止</w:t>
      </w:r>
    </w:p>
    <w:p w14:paraId="7C88D9F0">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服务时间</w:t>
      </w:r>
    </w:p>
    <w:p w14:paraId="4A739827">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本合同提供的例行保养服务，确定在乙方的正常工作时间（周一至周五上午8：00-下午5:30）内进行，甲方若有特殊需要，乙方也可在正常工作时间以外的时间内提供24小时保养服务。</w:t>
      </w:r>
    </w:p>
    <w:p w14:paraId="5BAAF7C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合同期内电梯如出现紧急故障，不受上述时间限制。甲方只需拨通24小时维修热线电话：</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，乙方即派维修人员在二十分钟内到达故障现场进行急修。</w:t>
      </w:r>
    </w:p>
    <w:p w14:paraId="55C4E886">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乙方的服务内容</w:t>
      </w:r>
    </w:p>
    <w:p w14:paraId="0FF0D823">
      <w:p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内容详见“规范服务表”</w:t>
      </w:r>
    </w:p>
    <w:p w14:paraId="4ADA7488">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双方责任</w:t>
      </w:r>
    </w:p>
    <w:p w14:paraId="39B0855F">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、甲方的责任</w:t>
      </w:r>
    </w:p>
    <w:p w14:paraId="43BDFEC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甲方应按照《特种设备法》的规定，履行电梯使用单位的义务。</w:t>
      </w:r>
    </w:p>
    <w:p w14:paraId="675066C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负责按照政府主管部门对电梯设备日常管理的法规、规定和要求进行全面管理，对乙方的服务项目、服务内容和服务质量进行确认。</w:t>
      </w:r>
    </w:p>
    <w:p w14:paraId="6BB222E6">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在乙方提供保养服务期间，责任给予乙方合理和充分的停梯时间并协助和管理设置现场安全警示标志。</w:t>
      </w:r>
    </w:p>
    <w:p w14:paraId="0BBE10BB">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有效服务期内，甲方若需对本合同电梯设备实施改造、修理、装饰、更换的，必须按国家有关法规、规章、规定实施，因非乙方实施的上述工程而影响到乙方保养电梯设备的使用性能和安全性能的，乙方不承担任何责任。</w:t>
      </w:r>
    </w:p>
    <w:p w14:paraId="49C7A50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属甲方管理、使用不当、人为损坏、不可抗力或非保养范围内的原因，而导致电梯设备需要修理、更换的、应由甲方负责。在甲方与乙方签订《电梯产品修理合同》后，由乙方实施修理、更换。</w:t>
      </w:r>
    </w:p>
    <w:p w14:paraId="6848869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甲方应按合同约定支付电梯维保费用，逾期不支付的视为违约，乙方有权终止合同，停止对本合同约定的电梯提供维修保养服务。</w:t>
      </w:r>
    </w:p>
    <w:p w14:paraId="7F85FF7A">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在合同有效期内，严禁非乙方维保人员以外的人员进入电梯井道，否则造成的电梯安全事故由甲方负责。</w:t>
      </w:r>
    </w:p>
    <w:p w14:paraId="14B47D18">
      <w:pPr>
        <w:numPr>
          <w:ilvl w:val="0"/>
          <w:numId w:val="0"/>
        </w:numPr>
        <w:spacing w:line="360" w:lineRule="auto"/>
        <w:ind w:left="600" w:left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甲方必须正确使用电梯。</w:t>
      </w:r>
    </w:p>
    <w:p w14:paraId="30E9B090">
      <w:pPr>
        <w:numPr>
          <w:ilvl w:val="0"/>
          <w:numId w:val="0"/>
        </w:numPr>
        <w:spacing w:line="360" w:lineRule="auto"/>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乙方的责任</w:t>
      </w:r>
    </w:p>
    <w:p w14:paraId="01CD1EDF">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在提供服务时，当甲方保证提供实施服务条件的前提下，应严格遵守甲方有关的规章制度。</w:t>
      </w:r>
    </w:p>
    <w:p w14:paraId="0BE7532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严格按照“附件一”规定的内容提供服务，对所列的项目进行清洁、润滑、调整和检查等保养工作</w:t>
      </w:r>
      <w:r>
        <w:rPr>
          <w:rFonts w:hint="eastAsia" w:ascii="仿宋" w:hAnsi="仿宋" w:eastAsia="仿宋" w:cs="仿宋"/>
          <w:color w:val="auto"/>
          <w:sz w:val="32"/>
          <w:szCs w:val="32"/>
          <w:highlight w:val="none"/>
          <w:lang w:eastAsia="zh-CN"/>
        </w:rPr>
        <w:t>。</w:t>
      </w:r>
    </w:p>
    <w:p w14:paraId="4EF89560">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按照合同约定的，提供确保整机正常和安全的运行所需的备品配件。</w:t>
      </w:r>
    </w:p>
    <w:p w14:paraId="1D6D6D75">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配合政府主管部门对有效服务期内的电梯设备实施年检，对政府主管部门提出的由于保养不当造成的保养环节，部门的整改内容、项目及时提供免费整改。</w:t>
      </w:r>
    </w:p>
    <w:p w14:paraId="76571E6D">
      <w:pPr>
        <w:numPr>
          <w:ilvl w:val="0"/>
          <w:numId w:val="0"/>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在乙方按本合同规定提供有效服务期内，对存在的非保养责任故障，应及时书面通知甲方整改，当存在的故障可能严重影响电梯设备安全运行时，应及时通知甲方暂时停止使用该电梯设备。</w:t>
      </w:r>
    </w:p>
    <w:p w14:paraId="761B60CA">
      <w:pPr>
        <w:numPr>
          <w:ilvl w:val="0"/>
          <w:numId w:val="4"/>
        </w:num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服务费用及时付款方式和配件提供约定</w:t>
      </w:r>
    </w:p>
    <w:p w14:paraId="11071662">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1、电梯的保养费用:(人民币大写)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/年/台。</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台电梯壹年费用总计为</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整</w:t>
      </w:r>
      <w:r>
        <w:rPr>
          <w:rFonts w:hint="eastAsia" w:ascii="仿宋" w:hAnsi="仿宋" w:eastAsia="仿宋" w:cs="仿宋"/>
          <w:color w:val="auto"/>
          <w:sz w:val="32"/>
          <w:szCs w:val="32"/>
          <w:highlight w:val="none"/>
        </w:rPr>
        <w:t>。此费用包含乙方维保人员人工、差旅、小配件、管理费、税费等</w:t>
      </w:r>
      <w:r>
        <w:rPr>
          <w:rFonts w:hint="eastAsia" w:ascii="仿宋" w:hAnsi="仿宋" w:eastAsia="仿宋" w:cs="仿宋"/>
          <w:color w:val="auto"/>
          <w:sz w:val="32"/>
          <w:szCs w:val="32"/>
          <w:highlight w:val="none"/>
          <w:lang w:eastAsia="zh-CN"/>
        </w:rPr>
        <w:t>。</w:t>
      </w:r>
    </w:p>
    <w:p w14:paraId="559A709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2、保养中所需更换的零部件单次费用在</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00元以内由乙方免费更换</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合同中请用附件列出全部免费更换配件名称）</w:t>
      </w:r>
      <w:r>
        <w:rPr>
          <w:rFonts w:hint="eastAsia" w:ascii="仿宋" w:hAnsi="仿宋" w:eastAsia="仿宋" w:cs="仿宋"/>
          <w:color w:val="auto"/>
          <w:sz w:val="32"/>
          <w:szCs w:val="32"/>
          <w:highlight w:val="none"/>
        </w:rPr>
        <w:t>,单次费用超过</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00元以上由乙方提供或由甲方自行购买,费用由甲方支付。</w:t>
      </w:r>
    </w:p>
    <w:p w14:paraId="253C78F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3、保养所需润滑油,照明灯具由甲方提供。</w:t>
      </w:r>
    </w:p>
    <w:p w14:paraId="5DD4AE8D">
      <w:pPr>
        <w:spacing w:line="360" w:lineRule="auto"/>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4、本价格不包含国家管理部门的强制定期检验费</w:t>
      </w:r>
      <w:r>
        <w:rPr>
          <w:rFonts w:hint="eastAsia" w:ascii="仿宋" w:hAnsi="仿宋" w:eastAsia="仿宋" w:cs="仿宋"/>
          <w:color w:val="auto"/>
          <w:sz w:val="32"/>
          <w:szCs w:val="32"/>
          <w:highlight w:val="none"/>
          <w:lang w:eastAsia="zh-CN"/>
        </w:rPr>
        <w:t>。</w:t>
      </w:r>
    </w:p>
    <w:p w14:paraId="5E51E2F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5、付款方式</w:t>
      </w:r>
    </w:p>
    <w:p w14:paraId="533E1F5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即签订合同</w:t>
      </w:r>
      <w:r>
        <w:rPr>
          <w:rFonts w:hint="eastAsia" w:ascii="仿宋" w:hAnsi="仿宋" w:eastAsia="仿宋" w:cs="仿宋"/>
          <w:color w:val="auto"/>
          <w:sz w:val="32"/>
          <w:szCs w:val="32"/>
          <w:highlight w:val="none"/>
          <w:lang w:val="en-US" w:eastAsia="zh-CN"/>
        </w:rPr>
        <w:t>半年</w:t>
      </w:r>
      <w:r>
        <w:rPr>
          <w:rFonts w:hint="eastAsia" w:ascii="仿宋" w:hAnsi="仿宋" w:eastAsia="仿宋" w:cs="仿宋"/>
          <w:color w:val="auto"/>
          <w:sz w:val="32"/>
          <w:szCs w:val="32"/>
          <w:highlight w:val="none"/>
        </w:rPr>
        <w:t>后支付年</w:t>
      </w:r>
      <w:r>
        <w:rPr>
          <w:rFonts w:hint="eastAsia" w:ascii="仿宋" w:hAnsi="仿宋" w:eastAsia="仿宋" w:cs="仿宋"/>
          <w:color w:val="auto"/>
          <w:sz w:val="32"/>
          <w:szCs w:val="32"/>
          <w:highlight w:val="none"/>
          <w:lang w:val="en-US" w:eastAsia="zh-CN"/>
        </w:rPr>
        <w:t>度</w:t>
      </w:r>
      <w:r>
        <w:rPr>
          <w:rFonts w:hint="eastAsia" w:ascii="仿宋" w:hAnsi="仿宋" w:eastAsia="仿宋" w:cs="仿宋"/>
          <w:color w:val="auto"/>
          <w:sz w:val="32"/>
          <w:szCs w:val="32"/>
          <w:highlight w:val="none"/>
        </w:rPr>
        <w:t>维保金额的</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即</w:t>
      </w:r>
      <w:r>
        <w:rPr>
          <w:rFonts w:hint="eastAsia" w:ascii="仿宋" w:hAnsi="仿宋" w:eastAsia="仿宋" w:cs="仿宋"/>
          <w:color w:val="auto"/>
          <w:sz w:val="32"/>
          <w:szCs w:val="32"/>
          <w:highlight w:val="none"/>
          <w:u w:val="single"/>
          <w:lang w:val="en-US" w:eastAsia="zh-CN"/>
        </w:rPr>
        <w:t xml:space="preserve">      整</w:t>
      </w:r>
      <w:r>
        <w:rPr>
          <w:rFonts w:hint="eastAsia" w:ascii="仿宋" w:hAnsi="仿宋" w:eastAsia="仿宋" w:cs="仿宋"/>
          <w:color w:val="auto"/>
          <w:sz w:val="32"/>
          <w:szCs w:val="32"/>
          <w:highlight w:val="none"/>
        </w:rPr>
        <w:t>；一年后再支付年度维保费50%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即</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整。</w:t>
      </w:r>
    </w:p>
    <w:p w14:paraId="03DE1FCE">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九、本合同不承担项目</w:t>
      </w:r>
    </w:p>
    <w:p w14:paraId="70D73EA4">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1、土建工程中的电梯井道壁,井道工字钢,井道防水,井道隔离网、机房电源等附属设施的改造、修理、装饰、更换和维修等工作</w:t>
      </w:r>
      <w:r>
        <w:rPr>
          <w:rFonts w:hint="eastAsia" w:ascii="仿宋" w:hAnsi="仿宋" w:eastAsia="仿宋" w:cs="仿宋"/>
          <w:color w:val="auto"/>
          <w:sz w:val="32"/>
          <w:szCs w:val="32"/>
          <w:highlight w:val="none"/>
          <w:lang w:eastAsia="zh-CN"/>
        </w:rPr>
        <w:t>。</w:t>
      </w:r>
    </w:p>
    <w:p w14:paraId="54C21DF8">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2、本合同及合同附件所述内容之外的其他项目。 </w:t>
      </w:r>
    </w:p>
    <w:p w14:paraId="02924FC6">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十、其他</w:t>
      </w:r>
    </w:p>
    <w:p w14:paraId="3DC905B9">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1、服务期内,甲方需要增加电梯设备功能和改变性能时,或因国家颁布或修订有关标准而需对电梯设备进行改造时,双方应在另行签订《产品改装合同》后实施。</w:t>
      </w:r>
    </w:p>
    <w:p w14:paraId="2514C877">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2、保养中产生的各类废弃物,由甲方负责按照当地环境管理法律法规及有关规定予以处理。</w:t>
      </w:r>
    </w:p>
    <w:p w14:paraId="57BE6190">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3、由于电梯设备属于特种设备,甲方须将保养(包括另行维修,改造中)更换下的专用件,交由乙方回收销毁</w:t>
      </w:r>
      <w:r>
        <w:rPr>
          <w:rFonts w:hint="eastAsia" w:ascii="仿宋" w:hAnsi="仿宋" w:eastAsia="仿宋" w:cs="仿宋"/>
          <w:color w:val="auto"/>
          <w:sz w:val="32"/>
          <w:szCs w:val="32"/>
          <w:highlight w:val="none"/>
          <w:lang w:eastAsia="zh-CN"/>
        </w:rPr>
        <w:t>。</w:t>
      </w:r>
    </w:p>
    <w:p w14:paraId="5FF9B6B5">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4、合同签订时,需要对合同条款增加和更改的,或者要求提供本合同约定以外的服务时,双方应另行签约,经双方签字、盖章后生效。</w:t>
      </w:r>
    </w:p>
    <w:p w14:paraId="08F0C0E9">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5、合同生效后,需要对原条款进行变更的,双方应另签“合同修改书”,经双方签字,盖章后生效</w:t>
      </w:r>
      <w:r>
        <w:rPr>
          <w:rFonts w:hint="eastAsia" w:ascii="仿宋" w:hAnsi="仿宋" w:eastAsia="仿宋" w:cs="仿宋"/>
          <w:color w:val="auto"/>
          <w:sz w:val="32"/>
          <w:szCs w:val="32"/>
          <w:highlight w:val="none"/>
          <w:lang w:eastAsia="zh-CN"/>
        </w:rPr>
        <w:t>。</w:t>
      </w:r>
    </w:p>
    <w:p w14:paraId="01004083">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6、合同签订后电梯出现的安全事故,其责任认定由国家安全,技术权威部门鉴定。</w:t>
      </w:r>
    </w:p>
    <w:p w14:paraId="34584ABF">
      <w:pPr>
        <w:spacing w:line="360" w:lineRule="auto"/>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7、合同自签订之日起即产生法律效力,甲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乙双方必须严格履行合同内容。</w:t>
      </w:r>
    </w:p>
    <w:p w14:paraId="134EC83C">
      <w:pPr>
        <w:spacing w:line="360" w:lineRule="auto"/>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8、本合同一式叁份,甲方执两份,乙方执壹份</w:t>
      </w:r>
      <w:r>
        <w:rPr>
          <w:rFonts w:hint="eastAsia" w:ascii="仿宋" w:hAnsi="仿宋" w:eastAsia="仿宋" w:cs="仿宋"/>
          <w:color w:val="auto"/>
          <w:sz w:val="32"/>
          <w:szCs w:val="32"/>
          <w:highlight w:val="none"/>
          <w:lang w:eastAsia="zh-CN"/>
        </w:rPr>
        <w:t>。</w:t>
      </w:r>
    </w:p>
    <w:p w14:paraId="16291599">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附件:电梯售后服务规范表:</w:t>
      </w:r>
    </w:p>
    <w:p w14:paraId="5803DF73">
      <w:pPr>
        <w:spacing w:line="360" w:lineRule="auto"/>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1.1、说明</w:t>
      </w:r>
    </w:p>
    <w:p w14:paraId="66248894">
      <w:pPr>
        <w:spacing w:line="360" w:lineRule="auto"/>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1.1.1、本规范适用于程售后服务部门或人员的维修保养工作</w:t>
      </w:r>
      <w:r>
        <w:rPr>
          <w:rFonts w:hint="eastAsia" w:ascii="仿宋" w:hAnsi="仿宋" w:eastAsia="仿宋" w:cs="仿宋"/>
          <w:color w:val="auto"/>
          <w:sz w:val="32"/>
          <w:szCs w:val="32"/>
          <w:highlight w:val="none"/>
          <w:lang w:eastAsia="zh-CN"/>
        </w:rPr>
        <w:t>。</w:t>
      </w:r>
    </w:p>
    <w:p w14:paraId="66B9AC4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1.1.2、工具:应根据不同间隔时间的维修保养项目,准备其相应配件及常用的工具。   </w:t>
      </w:r>
    </w:p>
    <w:p w14:paraId="45580958">
      <w:pPr>
        <w:spacing w:line="360" w:lineRule="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1.2、曳引电梯维修保养内容：</w:t>
      </w:r>
    </w:p>
    <w:p w14:paraId="74DE46A5">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1.2.1、半月保养内容</w:t>
      </w:r>
    </w:p>
    <w:tbl>
      <w:tblPr>
        <w:tblStyle w:val="17"/>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759"/>
        <w:gridCol w:w="3185"/>
        <w:gridCol w:w="2696"/>
      </w:tblGrid>
      <w:tr w14:paraId="10F5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245FDA7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759" w:type="dxa"/>
            <w:vAlign w:val="center"/>
          </w:tcPr>
          <w:p w14:paraId="5A198D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185" w:type="dxa"/>
            <w:vAlign w:val="center"/>
          </w:tcPr>
          <w:p w14:paraId="6C9339A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696" w:type="dxa"/>
            <w:vAlign w:val="center"/>
          </w:tcPr>
          <w:p w14:paraId="1D49B2D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C62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restart"/>
          </w:tcPr>
          <w:p w14:paraId="56F7CDCF">
            <w:pPr>
              <w:spacing w:line="360" w:lineRule="auto"/>
              <w:rPr>
                <w:rFonts w:hint="eastAsia" w:ascii="仿宋" w:hAnsi="仿宋" w:eastAsia="仿宋" w:cs="仿宋"/>
                <w:color w:val="auto"/>
                <w:sz w:val="32"/>
                <w:szCs w:val="32"/>
                <w:highlight w:val="none"/>
              </w:rPr>
            </w:pPr>
          </w:p>
          <w:p w14:paraId="58E24A1D">
            <w:pPr>
              <w:spacing w:line="360" w:lineRule="auto"/>
              <w:rPr>
                <w:rFonts w:hint="eastAsia" w:ascii="仿宋" w:hAnsi="仿宋" w:eastAsia="仿宋" w:cs="仿宋"/>
                <w:color w:val="auto"/>
                <w:sz w:val="32"/>
                <w:szCs w:val="32"/>
                <w:highlight w:val="none"/>
              </w:rPr>
            </w:pPr>
          </w:p>
          <w:p w14:paraId="334B9ECB">
            <w:pPr>
              <w:spacing w:line="360" w:lineRule="auto"/>
              <w:rPr>
                <w:rFonts w:hint="eastAsia" w:ascii="仿宋" w:hAnsi="仿宋" w:eastAsia="仿宋" w:cs="仿宋"/>
                <w:color w:val="auto"/>
                <w:sz w:val="32"/>
                <w:szCs w:val="32"/>
                <w:highlight w:val="none"/>
              </w:rPr>
            </w:pPr>
          </w:p>
          <w:p w14:paraId="09CDEEBD">
            <w:pPr>
              <w:spacing w:line="360" w:lineRule="auto"/>
              <w:rPr>
                <w:rFonts w:hint="eastAsia" w:ascii="仿宋" w:hAnsi="仿宋" w:eastAsia="仿宋" w:cs="仿宋"/>
                <w:color w:val="auto"/>
                <w:sz w:val="32"/>
                <w:szCs w:val="32"/>
                <w:highlight w:val="none"/>
              </w:rPr>
            </w:pPr>
          </w:p>
          <w:p w14:paraId="0A54F026">
            <w:pPr>
              <w:spacing w:line="360" w:lineRule="auto"/>
              <w:rPr>
                <w:rFonts w:hint="eastAsia" w:ascii="仿宋" w:hAnsi="仿宋" w:eastAsia="仿宋" w:cs="仿宋"/>
                <w:color w:val="auto"/>
                <w:sz w:val="32"/>
                <w:szCs w:val="32"/>
                <w:highlight w:val="none"/>
              </w:rPr>
            </w:pPr>
          </w:p>
          <w:p w14:paraId="46E171C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759" w:type="dxa"/>
            <w:vAlign w:val="center"/>
          </w:tcPr>
          <w:p w14:paraId="2ED9C57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机房、控制柜卫生</w:t>
            </w:r>
          </w:p>
        </w:tc>
        <w:tc>
          <w:tcPr>
            <w:tcW w:w="3185" w:type="dxa"/>
            <w:vAlign w:val="center"/>
          </w:tcPr>
          <w:p w14:paraId="2006A03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整洁、干燥、无与电梯无关的物品</w:t>
            </w:r>
          </w:p>
        </w:tc>
        <w:tc>
          <w:tcPr>
            <w:tcW w:w="2696" w:type="dxa"/>
            <w:vAlign w:val="center"/>
          </w:tcPr>
          <w:p w14:paraId="5A75CDA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清扫、整洁</w:t>
            </w:r>
          </w:p>
        </w:tc>
      </w:tr>
      <w:tr w14:paraId="6B4B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19B54404">
            <w:pPr>
              <w:spacing w:line="360" w:lineRule="auto"/>
              <w:rPr>
                <w:rFonts w:hint="eastAsia" w:ascii="仿宋" w:hAnsi="仿宋" w:eastAsia="仿宋" w:cs="仿宋"/>
                <w:color w:val="auto"/>
                <w:sz w:val="32"/>
                <w:szCs w:val="32"/>
                <w:highlight w:val="none"/>
              </w:rPr>
            </w:pPr>
          </w:p>
        </w:tc>
        <w:tc>
          <w:tcPr>
            <w:tcW w:w="1759" w:type="dxa"/>
            <w:vAlign w:val="center"/>
          </w:tcPr>
          <w:p w14:paraId="79C7CB8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控制柜</w:t>
            </w:r>
          </w:p>
        </w:tc>
        <w:tc>
          <w:tcPr>
            <w:tcW w:w="3185" w:type="dxa"/>
            <w:vAlign w:val="center"/>
          </w:tcPr>
          <w:p w14:paraId="0E76B36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各元器件和连接线应完好无松动脱落</w:t>
            </w:r>
          </w:p>
        </w:tc>
        <w:tc>
          <w:tcPr>
            <w:tcW w:w="2696" w:type="dxa"/>
            <w:vAlign w:val="center"/>
          </w:tcPr>
          <w:p w14:paraId="545A0DA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旋紧各接线桩头，更换或维修已经将要损坏的原器件</w:t>
            </w:r>
          </w:p>
        </w:tc>
      </w:tr>
      <w:tr w14:paraId="24C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tcPr>
          <w:p w14:paraId="61983A91">
            <w:pPr>
              <w:spacing w:line="360" w:lineRule="auto"/>
              <w:rPr>
                <w:rFonts w:hint="eastAsia" w:ascii="仿宋" w:hAnsi="仿宋" w:eastAsia="仿宋" w:cs="仿宋"/>
                <w:color w:val="auto"/>
                <w:sz w:val="32"/>
                <w:szCs w:val="32"/>
                <w:highlight w:val="none"/>
              </w:rPr>
            </w:pPr>
          </w:p>
        </w:tc>
        <w:tc>
          <w:tcPr>
            <w:tcW w:w="1759" w:type="dxa"/>
            <w:vAlign w:val="center"/>
          </w:tcPr>
          <w:p w14:paraId="788DB2F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电动机、编码器</w:t>
            </w:r>
          </w:p>
        </w:tc>
        <w:tc>
          <w:tcPr>
            <w:tcW w:w="3185" w:type="dxa"/>
            <w:vAlign w:val="center"/>
          </w:tcPr>
          <w:p w14:paraId="6248EB2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电机声音正常，编码器链接可靠</w:t>
            </w:r>
          </w:p>
        </w:tc>
        <w:tc>
          <w:tcPr>
            <w:tcW w:w="2696" w:type="dxa"/>
            <w:vAlign w:val="center"/>
          </w:tcPr>
          <w:p w14:paraId="5E6BCBC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电机声音异常，调整调速装置增益，修复制动电阻或版型电阻及其接线</w:t>
            </w:r>
          </w:p>
        </w:tc>
      </w:tr>
      <w:tr w14:paraId="212A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Merge w:val="continue"/>
          </w:tcPr>
          <w:p w14:paraId="19C75E5F">
            <w:pPr>
              <w:spacing w:line="360" w:lineRule="auto"/>
              <w:rPr>
                <w:rFonts w:hint="eastAsia" w:ascii="仿宋" w:hAnsi="仿宋" w:eastAsia="仿宋" w:cs="仿宋"/>
                <w:color w:val="auto"/>
                <w:sz w:val="32"/>
                <w:szCs w:val="32"/>
                <w:highlight w:val="none"/>
              </w:rPr>
            </w:pPr>
          </w:p>
        </w:tc>
        <w:tc>
          <w:tcPr>
            <w:tcW w:w="1759" w:type="dxa"/>
            <w:vAlign w:val="center"/>
          </w:tcPr>
          <w:p w14:paraId="5B8889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w:t>
            </w:r>
          </w:p>
        </w:tc>
        <w:tc>
          <w:tcPr>
            <w:tcW w:w="3185" w:type="dxa"/>
            <w:vAlign w:val="center"/>
          </w:tcPr>
          <w:p w14:paraId="479161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手动盘车装置齐全</w:t>
            </w:r>
          </w:p>
        </w:tc>
        <w:tc>
          <w:tcPr>
            <w:tcW w:w="2696" w:type="dxa"/>
            <w:vAlign w:val="center"/>
          </w:tcPr>
          <w:p w14:paraId="45D6F1C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手动盘车装置不全立即与公司联系</w:t>
            </w:r>
          </w:p>
        </w:tc>
      </w:tr>
      <w:tr w14:paraId="3475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continue"/>
          </w:tcPr>
          <w:p w14:paraId="024AF3C9">
            <w:pPr>
              <w:spacing w:line="360" w:lineRule="auto"/>
              <w:rPr>
                <w:rFonts w:hint="eastAsia" w:ascii="仿宋" w:hAnsi="仿宋" w:eastAsia="仿宋" w:cs="仿宋"/>
                <w:color w:val="auto"/>
                <w:sz w:val="32"/>
                <w:szCs w:val="32"/>
                <w:highlight w:val="none"/>
              </w:rPr>
            </w:pPr>
          </w:p>
        </w:tc>
        <w:tc>
          <w:tcPr>
            <w:tcW w:w="1759" w:type="dxa"/>
            <w:vAlign w:val="center"/>
          </w:tcPr>
          <w:p w14:paraId="779792B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制动器检查</w:t>
            </w:r>
          </w:p>
        </w:tc>
        <w:tc>
          <w:tcPr>
            <w:tcW w:w="3185" w:type="dxa"/>
            <w:vAlign w:val="center"/>
          </w:tcPr>
          <w:p w14:paraId="25F4B6B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动作灵活，制动时闸瓦紧密均匀贴合，制动轮松开时间隙平均值不要大于0.7mm</w:t>
            </w:r>
          </w:p>
        </w:tc>
        <w:tc>
          <w:tcPr>
            <w:tcW w:w="2696" w:type="dxa"/>
            <w:vAlign w:val="center"/>
          </w:tcPr>
          <w:p w14:paraId="536B01B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维保工具：扳手、塞尺、必要时更换闸瓦衬</w:t>
            </w:r>
          </w:p>
        </w:tc>
      </w:tr>
      <w:tr w14:paraId="0B8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Align w:val="center"/>
          </w:tcPr>
          <w:p w14:paraId="687723CE">
            <w:pPr>
              <w:spacing w:line="360" w:lineRule="auto"/>
              <w:jc w:val="center"/>
              <w:rPr>
                <w:rFonts w:hint="eastAsia" w:ascii="仿宋" w:hAnsi="仿宋" w:eastAsia="仿宋" w:cs="仿宋"/>
                <w:color w:val="auto"/>
                <w:sz w:val="32"/>
                <w:szCs w:val="32"/>
                <w:highlight w:val="none"/>
              </w:rPr>
            </w:pPr>
          </w:p>
          <w:p w14:paraId="78EDFAB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p w14:paraId="7058D008">
            <w:pPr>
              <w:spacing w:line="360" w:lineRule="auto"/>
              <w:jc w:val="center"/>
              <w:rPr>
                <w:rFonts w:hint="eastAsia" w:ascii="仿宋" w:hAnsi="仿宋" w:eastAsia="仿宋" w:cs="仿宋"/>
                <w:color w:val="auto"/>
                <w:sz w:val="32"/>
                <w:szCs w:val="32"/>
                <w:highlight w:val="none"/>
              </w:rPr>
            </w:pPr>
          </w:p>
        </w:tc>
        <w:tc>
          <w:tcPr>
            <w:tcW w:w="1759" w:type="dxa"/>
            <w:vAlign w:val="center"/>
          </w:tcPr>
          <w:p w14:paraId="5B7564E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门保护装置</w:t>
            </w:r>
          </w:p>
        </w:tc>
        <w:tc>
          <w:tcPr>
            <w:tcW w:w="3185" w:type="dxa"/>
            <w:vAlign w:val="center"/>
          </w:tcPr>
          <w:p w14:paraId="6DA9753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动作应可靠</w:t>
            </w:r>
          </w:p>
        </w:tc>
        <w:tc>
          <w:tcPr>
            <w:tcW w:w="2696" w:type="dxa"/>
            <w:vAlign w:val="center"/>
          </w:tcPr>
          <w:p w14:paraId="4A52052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调整安全触板机械连接部件，必要时更换开关</w:t>
            </w:r>
          </w:p>
        </w:tc>
      </w:tr>
      <w:tr w14:paraId="5C06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9" w:type="dxa"/>
            <w:vAlign w:val="center"/>
          </w:tcPr>
          <w:p w14:paraId="19422C0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59" w:type="dxa"/>
            <w:vAlign w:val="center"/>
          </w:tcPr>
          <w:p w14:paraId="42D0207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安全开关动作实验</w:t>
            </w:r>
          </w:p>
        </w:tc>
        <w:tc>
          <w:tcPr>
            <w:tcW w:w="3185" w:type="dxa"/>
            <w:vAlign w:val="center"/>
          </w:tcPr>
          <w:p w14:paraId="7644D5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轿顶底坑急停开关，限速器松绳开关，厅门连锁应正常</w:t>
            </w:r>
          </w:p>
        </w:tc>
        <w:tc>
          <w:tcPr>
            <w:tcW w:w="2696" w:type="dxa"/>
            <w:vAlign w:val="center"/>
          </w:tcPr>
          <w:p w14:paraId="2CC9ECC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去掉短接线，或更换开关</w:t>
            </w:r>
          </w:p>
        </w:tc>
      </w:tr>
      <w:tr w14:paraId="4BE3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19" w:type="dxa"/>
            <w:vMerge w:val="restart"/>
            <w:vAlign w:val="center"/>
          </w:tcPr>
          <w:p w14:paraId="060E7FAB">
            <w:pPr>
              <w:spacing w:line="360" w:lineRule="auto"/>
              <w:jc w:val="center"/>
              <w:rPr>
                <w:rFonts w:hint="eastAsia" w:ascii="仿宋" w:hAnsi="仿宋" w:eastAsia="仿宋" w:cs="仿宋"/>
                <w:color w:val="auto"/>
                <w:sz w:val="32"/>
                <w:szCs w:val="32"/>
                <w:highlight w:val="none"/>
              </w:rPr>
            </w:pPr>
          </w:p>
          <w:p w14:paraId="7A1F9131">
            <w:pPr>
              <w:spacing w:line="360" w:lineRule="auto"/>
              <w:jc w:val="center"/>
              <w:rPr>
                <w:rFonts w:hint="eastAsia" w:ascii="仿宋" w:hAnsi="仿宋" w:eastAsia="仿宋" w:cs="仿宋"/>
                <w:color w:val="auto"/>
                <w:sz w:val="32"/>
                <w:szCs w:val="32"/>
                <w:highlight w:val="none"/>
              </w:rPr>
            </w:pPr>
          </w:p>
          <w:p w14:paraId="4E1C8A00">
            <w:pPr>
              <w:spacing w:line="360" w:lineRule="auto"/>
              <w:jc w:val="center"/>
              <w:rPr>
                <w:rFonts w:hint="eastAsia" w:ascii="仿宋" w:hAnsi="仿宋" w:eastAsia="仿宋" w:cs="仿宋"/>
                <w:color w:val="auto"/>
                <w:sz w:val="32"/>
                <w:szCs w:val="32"/>
                <w:highlight w:val="none"/>
              </w:rPr>
            </w:pPr>
          </w:p>
          <w:p w14:paraId="55360F8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p w14:paraId="640666E0">
            <w:pPr>
              <w:spacing w:line="360" w:lineRule="auto"/>
              <w:jc w:val="center"/>
              <w:rPr>
                <w:rFonts w:hint="eastAsia" w:ascii="仿宋" w:hAnsi="仿宋" w:eastAsia="仿宋" w:cs="仿宋"/>
                <w:color w:val="auto"/>
                <w:sz w:val="32"/>
                <w:szCs w:val="32"/>
                <w:highlight w:val="none"/>
              </w:rPr>
            </w:pPr>
          </w:p>
          <w:p w14:paraId="6903571A">
            <w:pPr>
              <w:spacing w:line="360" w:lineRule="auto"/>
              <w:jc w:val="center"/>
              <w:rPr>
                <w:rFonts w:hint="eastAsia" w:ascii="仿宋" w:hAnsi="仿宋" w:eastAsia="仿宋" w:cs="仿宋"/>
                <w:color w:val="auto"/>
                <w:sz w:val="32"/>
                <w:szCs w:val="32"/>
                <w:highlight w:val="none"/>
              </w:rPr>
            </w:pPr>
          </w:p>
        </w:tc>
        <w:tc>
          <w:tcPr>
            <w:tcW w:w="1759" w:type="dxa"/>
            <w:vAlign w:val="center"/>
          </w:tcPr>
          <w:p w14:paraId="079E7B5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舒适感</w:t>
            </w:r>
          </w:p>
        </w:tc>
        <w:tc>
          <w:tcPr>
            <w:tcW w:w="3185" w:type="dxa"/>
            <w:vAlign w:val="center"/>
          </w:tcPr>
          <w:p w14:paraId="4955623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有无异常震动，冲击</w:t>
            </w:r>
          </w:p>
        </w:tc>
        <w:tc>
          <w:tcPr>
            <w:tcW w:w="2696" w:type="dxa"/>
            <w:vAlign w:val="center"/>
          </w:tcPr>
          <w:p w14:paraId="415F3D4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维修导轨，调整导靴安装位置，并检查调整抱闸</w:t>
            </w:r>
          </w:p>
        </w:tc>
      </w:tr>
      <w:tr w14:paraId="2789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619" w:type="dxa"/>
            <w:vMerge w:val="continue"/>
            <w:vAlign w:val="center"/>
          </w:tcPr>
          <w:p w14:paraId="41574816">
            <w:pPr>
              <w:spacing w:line="360" w:lineRule="auto"/>
              <w:jc w:val="center"/>
              <w:rPr>
                <w:rFonts w:hint="eastAsia" w:ascii="仿宋" w:hAnsi="仿宋" w:eastAsia="仿宋" w:cs="仿宋"/>
                <w:color w:val="auto"/>
                <w:sz w:val="32"/>
                <w:szCs w:val="32"/>
                <w:highlight w:val="none"/>
              </w:rPr>
            </w:pPr>
          </w:p>
        </w:tc>
        <w:tc>
          <w:tcPr>
            <w:tcW w:w="1759" w:type="dxa"/>
            <w:vAlign w:val="center"/>
          </w:tcPr>
          <w:p w14:paraId="736E18F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显示检查</w:t>
            </w:r>
          </w:p>
        </w:tc>
        <w:tc>
          <w:tcPr>
            <w:tcW w:w="3185" w:type="dxa"/>
            <w:vAlign w:val="center"/>
          </w:tcPr>
          <w:p w14:paraId="21A4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厅外及轿内显示清晰无误</w:t>
            </w:r>
          </w:p>
        </w:tc>
        <w:tc>
          <w:tcPr>
            <w:tcW w:w="2696" w:type="dxa"/>
            <w:vAlign w:val="center"/>
          </w:tcPr>
          <w:p w14:paraId="0D08F8D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显示闪动不清晰，因干扰引起，请把信号线与高压线分开并处理好接地</w:t>
            </w:r>
          </w:p>
        </w:tc>
      </w:tr>
      <w:tr w14:paraId="7962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619" w:type="dxa"/>
            <w:vMerge w:val="continue"/>
            <w:vAlign w:val="center"/>
          </w:tcPr>
          <w:p w14:paraId="0A70F827">
            <w:pPr>
              <w:spacing w:line="360" w:lineRule="auto"/>
              <w:jc w:val="center"/>
              <w:rPr>
                <w:rFonts w:hint="eastAsia" w:ascii="仿宋" w:hAnsi="仿宋" w:eastAsia="仿宋" w:cs="仿宋"/>
                <w:color w:val="auto"/>
                <w:sz w:val="32"/>
                <w:szCs w:val="32"/>
                <w:highlight w:val="none"/>
              </w:rPr>
            </w:pPr>
          </w:p>
        </w:tc>
        <w:tc>
          <w:tcPr>
            <w:tcW w:w="1759" w:type="dxa"/>
            <w:vAlign w:val="center"/>
          </w:tcPr>
          <w:p w14:paraId="15D7C27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平层精度</w:t>
            </w:r>
          </w:p>
        </w:tc>
        <w:tc>
          <w:tcPr>
            <w:tcW w:w="3185" w:type="dxa"/>
            <w:vAlign w:val="center"/>
          </w:tcPr>
          <w:p w14:paraId="5AE1714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—10MM到+10MM</w:t>
            </w:r>
          </w:p>
        </w:tc>
        <w:tc>
          <w:tcPr>
            <w:tcW w:w="2696" w:type="dxa"/>
            <w:vAlign w:val="center"/>
          </w:tcPr>
          <w:p w14:paraId="542DDA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参照《电器调试说明书》5.1.6：5.2调整平层精度</w:t>
            </w:r>
          </w:p>
        </w:tc>
      </w:tr>
    </w:tbl>
    <w:p w14:paraId="1D38A089">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1.2.2、月保养内容</w:t>
      </w:r>
    </w:p>
    <w:tbl>
      <w:tblPr>
        <w:tblStyle w:val="1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47"/>
        <w:gridCol w:w="3343"/>
        <w:gridCol w:w="2533"/>
      </w:tblGrid>
      <w:tr w14:paraId="3CD0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48120465">
            <w:pPr>
              <w:spacing w:line="360" w:lineRule="auto"/>
              <w:jc w:val="center"/>
              <w:rPr>
                <w:rFonts w:hint="eastAsia" w:ascii="仿宋" w:hAnsi="仿宋" w:eastAsia="仿宋" w:cs="仿宋"/>
                <w:color w:val="auto"/>
                <w:sz w:val="32"/>
                <w:szCs w:val="32"/>
                <w:highlight w:val="none"/>
              </w:rPr>
            </w:pPr>
          </w:p>
          <w:p w14:paraId="32022FE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627A153F">
            <w:pPr>
              <w:spacing w:line="360" w:lineRule="auto"/>
              <w:jc w:val="center"/>
              <w:rPr>
                <w:rFonts w:hint="eastAsia" w:ascii="仿宋" w:hAnsi="仿宋" w:eastAsia="仿宋" w:cs="仿宋"/>
                <w:color w:val="auto"/>
                <w:sz w:val="32"/>
                <w:szCs w:val="32"/>
                <w:highlight w:val="none"/>
              </w:rPr>
            </w:pPr>
          </w:p>
        </w:tc>
        <w:tc>
          <w:tcPr>
            <w:tcW w:w="1747" w:type="dxa"/>
            <w:vAlign w:val="center"/>
          </w:tcPr>
          <w:p w14:paraId="13B89E5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343" w:type="dxa"/>
            <w:vAlign w:val="center"/>
          </w:tcPr>
          <w:p w14:paraId="7312675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533" w:type="dxa"/>
            <w:vAlign w:val="center"/>
          </w:tcPr>
          <w:p w14:paraId="73405AD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1BF2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34" w:type="dxa"/>
            <w:vAlign w:val="center"/>
          </w:tcPr>
          <w:p w14:paraId="0E988E8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w:t>
            </w:r>
          </w:p>
        </w:tc>
        <w:tc>
          <w:tcPr>
            <w:tcW w:w="1747" w:type="dxa"/>
            <w:vAlign w:val="center"/>
          </w:tcPr>
          <w:p w14:paraId="1B133DC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门运行</w:t>
            </w:r>
          </w:p>
        </w:tc>
        <w:tc>
          <w:tcPr>
            <w:tcW w:w="3343" w:type="dxa"/>
            <w:vAlign w:val="center"/>
          </w:tcPr>
          <w:p w14:paraId="18D08DE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开关门运行应灵活无异噪声，导轨底端间隙为0.5MM</w:t>
            </w:r>
          </w:p>
        </w:tc>
        <w:tc>
          <w:tcPr>
            <w:tcW w:w="2533" w:type="dxa"/>
            <w:vAlign w:val="center"/>
          </w:tcPr>
          <w:p w14:paraId="60AB570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吊门滑轮磨损请更换，调整吊门滑轮的偏心挡轮，清楚地坎及导轨垃圾或更换门滑块</w:t>
            </w:r>
          </w:p>
        </w:tc>
      </w:tr>
      <w:tr w14:paraId="20FF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34" w:type="dxa"/>
            <w:vAlign w:val="center"/>
          </w:tcPr>
          <w:p w14:paraId="4E72D95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747" w:type="dxa"/>
            <w:vAlign w:val="center"/>
          </w:tcPr>
          <w:p w14:paraId="1A462737">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曳引钢丝绳涨力绳头组合</w:t>
            </w:r>
          </w:p>
        </w:tc>
        <w:tc>
          <w:tcPr>
            <w:tcW w:w="3343" w:type="dxa"/>
            <w:vAlign w:val="center"/>
          </w:tcPr>
          <w:p w14:paraId="4864B56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曳引机涨力与其平均值偏差不大与5%：绳头组合应安全，可靠</w:t>
            </w:r>
          </w:p>
        </w:tc>
        <w:tc>
          <w:tcPr>
            <w:tcW w:w="2533" w:type="dxa"/>
            <w:vAlign w:val="center"/>
          </w:tcPr>
          <w:p w14:paraId="27D034D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电梯运行中间楼层用扳手调整</w:t>
            </w:r>
          </w:p>
        </w:tc>
      </w:tr>
    </w:tbl>
    <w:p w14:paraId="01DDC5F5">
      <w:pPr>
        <w:spacing w:line="360" w:lineRule="auto"/>
        <w:rPr>
          <w:rFonts w:hint="eastAsia" w:ascii="仿宋" w:hAnsi="仿宋" w:eastAsia="仿宋" w:cs="仿宋"/>
          <w:color w:val="auto"/>
          <w:sz w:val="32"/>
          <w:szCs w:val="32"/>
          <w:highlight w:val="none"/>
        </w:rPr>
      </w:pPr>
    </w:p>
    <w:p w14:paraId="380884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1.2.3、季保养内容：</w:t>
      </w:r>
    </w:p>
    <w:tbl>
      <w:tblPr>
        <w:tblStyle w:val="1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7"/>
        <w:gridCol w:w="3038"/>
        <w:gridCol w:w="2905"/>
      </w:tblGrid>
      <w:tr w14:paraId="5AA6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5ABEC87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tc>
        <w:tc>
          <w:tcPr>
            <w:tcW w:w="1657" w:type="dxa"/>
            <w:vAlign w:val="center"/>
          </w:tcPr>
          <w:p w14:paraId="4DE4E7E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38" w:type="dxa"/>
            <w:vAlign w:val="center"/>
          </w:tcPr>
          <w:p w14:paraId="49B4931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905" w:type="dxa"/>
            <w:vAlign w:val="center"/>
          </w:tcPr>
          <w:p w14:paraId="44B0ECA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670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Align w:val="center"/>
          </w:tcPr>
          <w:p w14:paraId="39E1C1C4">
            <w:pPr>
              <w:spacing w:line="360" w:lineRule="auto"/>
              <w:jc w:val="center"/>
              <w:rPr>
                <w:rFonts w:hint="eastAsia" w:ascii="仿宋" w:hAnsi="仿宋" w:eastAsia="仿宋" w:cs="仿宋"/>
                <w:color w:val="auto"/>
                <w:sz w:val="32"/>
                <w:szCs w:val="32"/>
                <w:highlight w:val="none"/>
              </w:rPr>
            </w:pPr>
          </w:p>
        </w:tc>
        <w:tc>
          <w:tcPr>
            <w:tcW w:w="1657" w:type="dxa"/>
            <w:vAlign w:val="center"/>
          </w:tcPr>
          <w:p w14:paraId="2D01478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层门和轿门检查</w:t>
            </w:r>
          </w:p>
        </w:tc>
        <w:tc>
          <w:tcPr>
            <w:tcW w:w="3038" w:type="dxa"/>
            <w:vAlign w:val="center"/>
          </w:tcPr>
          <w:p w14:paraId="76C28D5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门刀与层门地坎，门轮与轿厢地坎间隙应为5~10MM：钩子锁最小啮合长度不小于7MM；啮合可靠</w:t>
            </w:r>
          </w:p>
        </w:tc>
        <w:tc>
          <w:tcPr>
            <w:tcW w:w="2905" w:type="dxa"/>
            <w:vAlign w:val="center"/>
          </w:tcPr>
          <w:p w14:paraId="0D6B694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钢尺、扳手等工具仔细调整</w:t>
            </w:r>
          </w:p>
        </w:tc>
      </w:tr>
      <w:tr w14:paraId="1B44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restart"/>
            <w:vAlign w:val="center"/>
          </w:tcPr>
          <w:p w14:paraId="4809228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井道</w:t>
            </w:r>
          </w:p>
        </w:tc>
        <w:tc>
          <w:tcPr>
            <w:tcW w:w="1657" w:type="dxa"/>
            <w:vAlign w:val="center"/>
          </w:tcPr>
          <w:p w14:paraId="1D145CF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限速器检查</w:t>
            </w:r>
          </w:p>
          <w:p w14:paraId="3EBC8AEA">
            <w:pPr>
              <w:spacing w:line="360" w:lineRule="auto"/>
              <w:jc w:val="center"/>
              <w:rPr>
                <w:rFonts w:hint="eastAsia" w:ascii="仿宋" w:hAnsi="仿宋" w:eastAsia="仿宋" w:cs="仿宋"/>
                <w:color w:val="auto"/>
                <w:sz w:val="32"/>
                <w:szCs w:val="32"/>
                <w:highlight w:val="none"/>
              </w:rPr>
            </w:pPr>
          </w:p>
        </w:tc>
        <w:tc>
          <w:tcPr>
            <w:tcW w:w="3038" w:type="dxa"/>
            <w:vAlign w:val="center"/>
          </w:tcPr>
          <w:p w14:paraId="641D5B1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限速器转动灵活无异常响声</w:t>
            </w:r>
          </w:p>
        </w:tc>
        <w:tc>
          <w:tcPr>
            <w:tcW w:w="2905" w:type="dxa"/>
            <w:vAlign w:val="center"/>
          </w:tcPr>
          <w:p w14:paraId="2C68B70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清楚夹绳钳口绳槽异物，并参照《电梯使用维护说明书》GT-WH01版6.5进行维保</w:t>
            </w:r>
          </w:p>
        </w:tc>
      </w:tr>
      <w:tr w14:paraId="5120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658" w:type="dxa"/>
            <w:vMerge w:val="continue"/>
            <w:vAlign w:val="center"/>
          </w:tcPr>
          <w:p w14:paraId="6C7C9AE0">
            <w:pPr>
              <w:spacing w:line="360" w:lineRule="auto"/>
              <w:jc w:val="center"/>
              <w:rPr>
                <w:rFonts w:hint="eastAsia" w:ascii="仿宋" w:hAnsi="仿宋" w:eastAsia="仿宋" w:cs="仿宋"/>
                <w:color w:val="auto"/>
                <w:sz w:val="32"/>
                <w:szCs w:val="32"/>
                <w:highlight w:val="none"/>
              </w:rPr>
            </w:pPr>
          </w:p>
        </w:tc>
        <w:tc>
          <w:tcPr>
            <w:tcW w:w="1657" w:type="dxa"/>
            <w:vAlign w:val="center"/>
          </w:tcPr>
          <w:p w14:paraId="46903249">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安全钳</w:t>
            </w:r>
          </w:p>
        </w:tc>
        <w:tc>
          <w:tcPr>
            <w:tcW w:w="3038" w:type="dxa"/>
            <w:vAlign w:val="center"/>
          </w:tcPr>
          <w:p w14:paraId="529BA6D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动作应灵活可靠</w:t>
            </w:r>
          </w:p>
          <w:p w14:paraId="5B932A64">
            <w:pPr>
              <w:spacing w:line="360" w:lineRule="auto"/>
              <w:jc w:val="center"/>
              <w:rPr>
                <w:rFonts w:hint="eastAsia" w:ascii="仿宋" w:hAnsi="仿宋" w:eastAsia="仿宋" w:cs="仿宋"/>
                <w:color w:val="auto"/>
                <w:sz w:val="32"/>
                <w:szCs w:val="32"/>
                <w:highlight w:val="none"/>
              </w:rPr>
            </w:pPr>
          </w:p>
        </w:tc>
        <w:tc>
          <w:tcPr>
            <w:tcW w:w="2905" w:type="dxa"/>
            <w:vAlign w:val="center"/>
          </w:tcPr>
          <w:p w14:paraId="5CDAC4D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参照《电梯使用维护说明书》</w:t>
            </w:r>
          </w:p>
          <w:p w14:paraId="6A73F49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GT-WH01版6.7.1相关条款进行维保</w:t>
            </w:r>
          </w:p>
        </w:tc>
      </w:tr>
      <w:tr w14:paraId="7CD9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Align w:val="center"/>
          </w:tcPr>
          <w:p w14:paraId="653978BB">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整机性能</w:t>
            </w:r>
          </w:p>
        </w:tc>
        <w:tc>
          <w:tcPr>
            <w:tcW w:w="1657" w:type="dxa"/>
            <w:vAlign w:val="center"/>
          </w:tcPr>
          <w:p w14:paraId="2C6B30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消防功能检查</w:t>
            </w:r>
          </w:p>
        </w:tc>
        <w:tc>
          <w:tcPr>
            <w:tcW w:w="3038" w:type="dxa"/>
            <w:vAlign w:val="center"/>
          </w:tcPr>
          <w:p w14:paraId="250D880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消防开关应有效</w:t>
            </w:r>
          </w:p>
        </w:tc>
        <w:tc>
          <w:tcPr>
            <w:tcW w:w="2905" w:type="dxa"/>
            <w:vAlign w:val="center"/>
          </w:tcPr>
          <w:p w14:paraId="14231AB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更换消防开关</w:t>
            </w:r>
          </w:p>
        </w:tc>
      </w:tr>
      <w:tr w14:paraId="0112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658" w:type="dxa"/>
            <w:vMerge w:val="restart"/>
            <w:vAlign w:val="center"/>
          </w:tcPr>
          <w:p w14:paraId="7D420DB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p w14:paraId="1576B9C5">
            <w:pPr>
              <w:spacing w:line="360" w:lineRule="auto"/>
              <w:jc w:val="center"/>
              <w:rPr>
                <w:rFonts w:hint="eastAsia" w:ascii="仿宋" w:hAnsi="仿宋" w:eastAsia="仿宋" w:cs="仿宋"/>
                <w:color w:val="auto"/>
                <w:sz w:val="32"/>
                <w:szCs w:val="32"/>
                <w:highlight w:val="none"/>
              </w:rPr>
            </w:pPr>
          </w:p>
        </w:tc>
        <w:tc>
          <w:tcPr>
            <w:tcW w:w="1657" w:type="dxa"/>
            <w:vMerge w:val="restart"/>
            <w:vAlign w:val="center"/>
          </w:tcPr>
          <w:p w14:paraId="296F37E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缓冲器检查</w:t>
            </w:r>
          </w:p>
        </w:tc>
        <w:tc>
          <w:tcPr>
            <w:tcW w:w="3038" w:type="dxa"/>
            <w:vAlign w:val="center"/>
          </w:tcPr>
          <w:p w14:paraId="43B75E01">
            <w:pPr>
              <w:spacing w:line="360" w:lineRule="auto"/>
              <w:jc w:val="center"/>
              <w:rPr>
                <w:rFonts w:hint="eastAsia" w:ascii="仿宋" w:hAnsi="仿宋" w:eastAsia="仿宋" w:cs="仿宋"/>
                <w:color w:val="auto"/>
                <w:sz w:val="32"/>
                <w:szCs w:val="32"/>
                <w:highlight w:val="none"/>
              </w:rPr>
            </w:pPr>
          </w:p>
          <w:p w14:paraId="189725ED">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液压缓冲器油位应在最底油位之上</w:t>
            </w:r>
          </w:p>
        </w:tc>
        <w:tc>
          <w:tcPr>
            <w:tcW w:w="2905" w:type="dxa"/>
            <w:vAlign w:val="center"/>
          </w:tcPr>
          <w:p w14:paraId="2CC777F5">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补充注油的凝固应在—10℃以下，推荐采用：加德士HD68</w:t>
            </w:r>
          </w:p>
        </w:tc>
      </w:tr>
      <w:tr w14:paraId="5B7D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58" w:type="dxa"/>
            <w:vMerge w:val="continue"/>
            <w:vAlign w:val="center"/>
          </w:tcPr>
          <w:p w14:paraId="003B1864">
            <w:pPr>
              <w:spacing w:line="360" w:lineRule="auto"/>
              <w:jc w:val="center"/>
              <w:rPr>
                <w:rFonts w:hint="eastAsia" w:ascii="仿宋" w:hAnsi="仿宋" w:eastAsia="仿宋" w:cs="仿宋"/>
                <w:color w:val="auto"/>
                <w:sz w:val="32"/>
                <w:szCs w:val="32"/>
                <w:highlight w:val="none"/>
              </w:rPr>
            </w:pPr>
          </w:p>
        </w:tc>
        <w:tc>
          <w:tcPr>
            <w:tcW w:w="1657" w:type="dxa"/>
            <w:vMerge w:val="continue"/>
            <w:vAlign w:val="center"/>
          </w:tcPr>
          <w:p w14:paraId="559F3254">
            <w:pPr>
              <w:spacing w:line="360" w:lineRule="auto"/>
              <w:jc w:val="center"/>
              <w:rPr>
                <w:rFonts w:hint="eastAsia" w:ascii="仿宋" w:hAnsi="仿宋" w:eastAsia="仿宋" w:cs="仿宋"/>
                <w:color w:val="auto"/>
                <w:sz w:val="32"/>
                <w:szCs w:val="32"/>
                <w:highlight w:val="none"/>
              </w:rPr>
            </w:pPr>
          </w:p>
        </w:tc>
        <w:tc>
          <w:tcPr>
            <w:tcW w:w="3038" w:type="dxa"/>
            <w:vAlign w:val="center"/>
          </w:tcPr>
          <w:p w14:paraId="585FC9F9">
            <w:pPr>
              <w:spacing w:line="360" w:lineRule="auto"/>
              <w:jc w:val="center"/>
              <w:rPr>
                <w:rFonts w:hint="eastAsia" w:ascii="仿宋" w:hAnsi="仿宋" w:eastAsia="仿宋" w:cs="仿宋"/>
                <w:color w:val="auto"/>
                <w:sz w:val="32"/>
                <w:szCs w:val="32"/>
                <w:highlight w:val="none"/>
              </w:rPr>
            </w:pPr>
          </w:p>
          <w:p w14:paraId="323528F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柱塞外露部应无生锈迹象</w:t>
            </w:r>
          </w:p>
        </w:tc>
        <w:tc>
          <w:tcPr>
            <w:tcW w:w="2905" w:type="dxa"/>
            <w:vAlign w:val="center"/>
          </w:tcPr>
          <w:p w14:paraId="1611C460">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用汽油清洗，并涂抹防锈油（缓冲器油）</w:t>
            </w:r>
          </w:p>
        </w:tc>
      </w:tr>
    </w:tbl>
    <w:p w14:paraId="25E0AB83">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1.2.4、半年保养内容</w:t>
      </w:r>
    </w:p>
    <w:tbl>
      <w:tblPr>
        <w:tblStyle w:val="17"/>
        <w:tblW w:w="8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57"/>
        <w:gridCol w:w="3052"/>
        <w:gridCol w:w="2891"/>
      </w:tblGrid>
      <w:tr w14:paraId="223E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57" w:type="dxa"/>
            <w:vAlign w:val="center"/>
          </w:tcPr>
          <w:p w14:paraId="53084516">
            <w:pPr>
              <w:spacing w:line="360" w:lineRule="auto"/>
              <w:rPr>
                <w:rFonts w:hint="eastAsia" w:ascii="仿宋" w:hAnsi="仿宋" w:eastAsia="仿宋" w:cs="仿宋"/>
                <w:color w:val="auto"/>
                <w:sz w:val="32"/>
                <w:szCs w:val="32"/>
                <w:highlight w:val="none"/>
              </w:rPr>
            </w:pPr>
          </w:p>
          <w:p w14:paraId="252D82E7">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1B38F9F9">
            <w:pPr>
              <w:spacing w:line="360" w:lineRule="auto"/>
              <w:rPr>
                <w:rFonts w:hint="eastAsia" w:ascii="仿宋" w:hAnsi="仿宋" w:eastAsia="仿宋" w:cs="仿宋"/>
                <w:color w:val="auto"/>
                <w:sz w:val="32"/>
                <w:szCs w:val="32"/>
                <w:highlight w:val="none"/>
              </w:rPr>
            </w:pPr>
          </w:p>
        </w:tc>
        <w:tc>
          <w:tcPr>
            <w:tcW w:w="1657" w:type="dxa"/>
            <w:vAlign w:val="center"/>
          </w:tcPr>
          <w:p w14:paraId="168E408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52" w:type="dxa"/>
            <w:vAlign w:val="center"/>
          </w:tcPr>
          <w:p w14:paraId="350B092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91" w:type="dxa"/>
            <w:vAlign w:val="center"/>
          </w:tcPr>
          <w:p w14:paraId="2D1B1B5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维修保养办法</w:t>
            </w:r>
          </w:p>
        </w:tc>
      </w:tr>
      <w:tr w14:paraId="1F80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657" w:type="dxa"/>
            <w:vMerge w:val="restart"/>
            <w:vAlign w:val="center"/>
          </w:tcPr>
          <w:p w14:paraId="14780518">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底坑</w:t>
            </w:r>
          </w:p>
        </w:tc>
        <w:tc>
          <w:tcPr>
            <w:tcW w:w="1657" w:type="dxa"/>
            <w:vAlign w:val="center"/>
          </w:tcPr>
          <w:p w14:paraId="25545AB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补偿链装置检查</w:t>
            </w:r>
          </w:p>
        </w:tc>
        <w:tc>
          <w:tcPr>
            <w:tcW w:w="3052" w:type="dxa"/>
            <w:vAlign w:val="center"/>
          </w:tcPr>
          <w:p w14:paraId="1F6DE42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固定应可靠无异常并检查二次保护</w:t>
            </w:r>
          </w:p>
          <w:p w14:paraId="74A69481">
            <w:pPr>
              <w:spacing w:line="360" w:lineRule="auto"/>
              <w:jc w:val="center"/>
              <w:rPr>
                <w:rFonts w:hint="eastAsia" w:ascii="仿宋" w:hAnsi="仿宋" w:eastAsia="仿宋" w:cs="仿宋"/>
                <w:color w:val="auto"/>
                <w:sz w:val="32"/>
                <w:szCs w:val="32"/>
                <w:highlight w:val="none"/>
              </w:rPr>
            </w:pPr>
          </w:p>
        </w:tc>
        <w:tc>
          <w:tcPr>
            <w:tcW w:w="2891" w:type="dxa"/>
            <w:vAlign w:val="center"/>
          </w:tcPr>
          <w:p w14:paraId="5A7F4E5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电梯停止底层或顶层，断电或打检修后检查或到底坑加装二次保护</w:t>
            </w:r>
          </w:p>
        </w:tc>
      </w:tr>
      <w:tr w14:paraId="52E6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657" w:type="dxa"/>
            <w:vMerge w:val="continue"/>
            <w:vAlign w:val="center"/>
          </w:tcPr>
          <w:p w14:paraId="17981A69">
            <w:pPr>
              <w:spacing w:line="360" w:lineRule="auto"/>
              <w:jc w:val="center"/>
              <w:rPr>
                <w:rFonts w:hint="eastAsia" w:ascii="仿宋" w:hAnsi="仿宋" w:eastAsia="仿宋" w:cs="仿宋"/>
                <w:color w:val="auto"/>
                <w:sz w:val="32"/>
                <w:szCs w:val="32"/>
                <w:highlight w:val="none"/>
              </w:rPr>
            </w:pPr>
          </w:p>
        </w:tc>
        <w:tc>
          <w:tcPr>
            <w:tcW w:w="1657" w:type="dxa"/>
            <w:vAlign w:val="center"/>
          </w:tcPr>
          <w:p w14:paraId="5FC9C4EE">
            <w:pPr>
              <w:spacing w:line="360" w:lineRule="auto"/>
              <w:ind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称重装置检查</w:t>
            </w:r>
          </w:p>
        </w:tc>
        <w:tc>
          <w:tcPr>
            <w:tcW w:w="3052" w:type="dxa"/>
            <w:vAlign w:val="center"/>
          </w:tcPr>
          <w:p w14:paraId="497DFB2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称重系统工作应正常</w:t>
            </w:r>
          </w:p>
        </w:tc>
        <w:tc>
          <w:tcPr>
            <w:tcW w:w="2891" w:type="dxa"/>
            <w:vAlign w:val="center"/>
          </w:tcPr>
          <w:p w14:paraId="38EADA0E">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机械式调节触点高低，电子式调整轿底磁钢与装置顶面距离</w:t>
            </w:r>
          </w:p>
        </w:tc>
      </w:tr>
    </w:tbl>
    <w:p w14:paraId="5FFA9B5E">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1.2.5、年保养内容</w:t>
      </w:r>
    </w:p>
    <w:tbl>
      <w:tblPr>
        <w:tblStyle w:val="17"/>
        <w:tblW w:w="8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676"/>
        <w:gridCol w:w="3092"/>
        <w:gridCol w:w="2856"/>
      </w:tblGrid>
      <w:tr w14:paraId="1854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34" w:type="dxa"/>
            <w:vAlign w:val="center"/>
          </w:tcPr>
          <w:p w14:paraId="7B88063E">
            <w:pPr>
              <w:spacing w:line="360" w:lineRule="auto"/>
              <w:jc w:val="center"/>
              <w:rPr>
                <w:rFonts w:hint="eastAsia" w:ascii="仿宋" w:hAnsi="仿宋" w:eastAsia="仿宋" w:cs="仿宋"/>
                <w:color w:val="auto"/>
                <w:sz w:val="32"/>
                <w:szCs w:val="32"/>
                <w:highlight w:val="none"/>
              </w:rPr>
            </w:pPr>
          </w:p>
          <w:p w14:paraId="3BE7441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位置</w:t>
            </w:r>
          </w:p>
          <w:p w14:paraId="09BA1A10">
            <w:pPr>
              <w:spacing w:line="360" w:lineRule="auto"/>
              <w:jc w:val="center"/>
              <w:rPr>
                <w:rFonts w:hint="eastAsia" w:ascii="仿宋" w:hAnsi="仿宋" w:eastAsia="仿宋" w:cs="仿宋"/>
                <w:color w:val="auto"/>
                <w:sz w:val="32"/>
                <w:szCs w:val="32"/>
                <w:highlight w:val="none"/>
              </w:rPr>
            </w:pPr>
          </w:p>
        </w:tc>
        <w:tc>
          <w:tcPr>
            <w:tcW w:w="1676" w:type="dxa"/>
            <w:vAlign w:val="center"/>
          </w:tcPr>
          <w:p w14:paraId="47112468">
            <w:pPr>
              <w:spacing w:line="360" w:lineRule="auto"/>
              <w:ind w:firstLine="960" w:firstLineChars="3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tc>
        <w:tc>
          <w:tcPr>
            <w:tcW w:w="3092" w:type="dxa"/>
            <w:vAlign w:val="center"/>
          </w:tcPr>
          <w:p w14:paraId="65B1CE1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内容</w:t>
            </w:r>
          </w:p>
        </w:tc>
        <w:tc>
          <w:tcPr>
            <w:tcW w:w="2856" w:type="dxa"/>
            <w:vAlign w:val="center"/>
          </w:tcPr>
          <w:p w14:paraId="7864C9D3">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维修保养方法</w:t>
            </w:r>
          </w:p>
        </w:tc>
      </w:tr>
      <w:tr w14:paraId="2397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34" w:type="dxa"/>
            <w:vMerge w:val="restart"/>
            <w:vAlign w:val="center"/>
          </w:tcPr>
          <w:p w14:paraId="1D1EFFA2">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机房</w:t>
            </w:r>
          </w:p>
        </w:tc>
        <w:tc>
          <w:tcPr>
            <w:tcW w:w="1676" w:type="dxa"/>
            <w:vAlign w:val="center"/>
          </w:tcPr>
          <w:p w14:paraId="5407BA4F">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w:t>
            </w:r>
          </w:p>
        </w:tc>
        <w:tc>
          <w:tcPr>
            <w:tcW w:w="3092" w:type="dxa"/>
            <w:vAlign w:val="center"/>
          </w:tcPr>
          <w:p w14:paraId="6491B5E4">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曳引轮顶缘于绳顶距离应不超过1.5MM,绳与槽底间隙不小于1MM</w:t>
            </w:r>
          </w:p>
        </w:tc>
        <w:tc>
          <w:tcPr>
            <w:tcW w:w="2856" w:type="dxa"/>
            <w:vAlign w:val="center"/>
          </w:tcPr>
          <w:p w14:paraId="7E16307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如超标请重车或更换曳引轮</w:t>
            </w:r>
          </w:p>
        </w:tc>
      </w:tr>
      <w:tr w14:paraId="76D3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634" w:type="dxa"/>
            <w:vMerge w:val="continue"/>
            <w:vAlign w:val="center"/>
          </w:tcPr>
          <w:p w14:paraId="1B7E6660">
            <w:pPr>
              <w:spacing w:line="360" w:lineRule="auto"/>
              <w:jc w:val="center"/>
              <w:rPr>
                <w:rFonts w:hint="eastAsia" w:ascii="仿宋" w:hAnsi="仿宋" w:eastAsia="仿宋" w:cs="仿宋"/>
                <w:color w:val="auto"/>
                <w:sz w:val="32"/>
                <w:szCs w:val="32"/>
                <w:highlight w:val="none"/>
              </w:rPr>
            </w:pPr>
          </w:p>
        </w:tc>
        <w:tc>
          <w:tcPr>
            <w:tcW w:w="1676" w:type="dxa"/>
            <w:vAlign w:val="center"/>
          </w:tcPr>
          <w:p w14:paraId="4B48BF76">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曳引钢丝绳检查</w:t>
            </w:r>
          </w:p>
        </w:tc>
        <w:tc>
          <w:tcPr>
            <w:tcW w:w="3092" w:type="dxa"/>
            <w:vAlign w:val="center"/>
          </w:tcPr>
          <w:p w14:paraId="68E138AA">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直径减少量小于7%，无断丝、断股，无腐蚀、变形</w:t>
            </w:r>
          </w:p>
        </w:tc>
        <w:tc>
          <w:tcPr>
            <w:tcW w:w="2856" w:type="dxa"/>
            <w:vAlign w:val="center"/>
          </w:tcPr>
          <w:p w14:paraId="7964B73D">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当钢丝绳情况与《电梯使用维护说明书》GT-WH01版6.11.2条款相符合时请更换钢丝绳</w:t>
            </w:r>
          </w:p>
        </w:tc>
      </w:tr>
    </w:tbl>
    <w:p w14:paraId="19C4C0ED">
      <w:pPr>
        <w:spacing w:line="360" w:lineRule="auto"/>
        <w:jc w:val="left"/>
        <w:rPr>
          <w:rFonts w:hint="eastAsia" w:ascii="仿宋" w:hAnsi="仿宋" w:eastAsia="仿宋" w:cs="仿宋"/>
          <w:color w:val="auto"/>
          <w:sz w:val="32"/>
          <w:szCs w:val="32"/>
          <w:highlight w:val="none"/>
        </w:rPr>
      </w:pPr>
    </w:p>
    <w:p w14:paraId="6E546829">
      <w:pPr>
        <w:rPr>
          <w:rFonts w:hint="eastAsia" w:ascii="仿宋" w:hAnsi="仿宋" w:eastAsia="仿宋" w:cs="仿宋"/>
          <w:color w:val="auto"/>
          <w:sz w:val="32"/>
          <w:szCs w:val="32"/>
          <w:highlight w:val="none"/>
        </w:rPr>
      </w:pPr>
    </w:p>
    <w:p w14:paraId="2D164082">
      <w:pPr>
        <w:pStyle w:val="8"/>
        <w:ind w:left="0" w:leftChars="0" w:firstLine="0" w:firstLineChars="0"/>
        <w:rPr>
          <w:rFonts w:hint="eastAsia" w:ascii="仿宋" w:hAnsi="仿宋" w:eastAsia="仿宋" w:cs="仿宋"/>
          <w:color w:val="000000"/>
          <w:sz w:val="32"/>
          <w:szCs w:val="32"/>
          <w:highlight w:val="none"/>
          <w:lang w:val="en-US" w:eastAsia="zh-CN"/>
        </w:rPr>
      </w:pPr>
    </w:p>
    <w:p w14:paraId="142EA84E">
      <w:pPr>
        <w:spacing w:line="400" w:lineRule="exact"/>
        <w:rPr>
          <w:rFonts w:hint="eastAsia" w:ascii="仿宋" w:hAnsi="仿宋" w:eastAsia="仿宋" w:cs="仿宋"/>
          <w:color w:val="auto"/>
          <w:sz w:val="28"/>
          <w:szCs w:val="28"/>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292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38D81"/>
    <w:multiLevelType w:val="singleLevel"/>
    <w:tmpl w:val="8A138D81"/>
    <w:lvl w:ilvl="0" w:tentative="0">
      <w:start w:val="4"/>
      <w:numFmt w:val="chineseCounting"/>
      <w:suff w:val="nothing"/>
      <w:lvlText w:val="%1、"/>
      <w:lvlJc w:val="left"/>
      <w:rPr>
        <w:rFonts w:hint="eastAsia"/>
      </w:rPr>
    </w:lvl>
  </w:abstractNum>
  <w:abstractNum w:abstractNumId="1">
    <w:nsid w:val="96D1AFC6"/>
    <w:multiLevelType w:val="singleLevel"/>
    <w:tmpl w:val="96D1AFC6"/>
    <w:lvl w:ilvl="0" w:tentative="0">
      <w:start w:val="1"/>
      <w:numFmt w:val="chineseCounting"/>
      <w:suff w:val="nothing"/>
      <w:lvlText w:val="%1、"/>
      <w:lvlJc w:val="left"/>
      <w:pPr>
        <w:ind w:left="0" w:firstLine="420"/>
      </w:pPr>
      <w:rPr>
        <w:rFonts w:hint="eastAsia"/>
      </w:rPr>
    </w:lvl>
  </w:abstractNum>
  <w:abstractNum w:abstractNumId="2">
    <w:nsid w:val="DE319353"/>
    <w:multiLevelType w:val="singleLevel"/>
    <w:tmpl w:val="DE319353"/>
    <w:lvl w:ilvl="0" w:tentative="0">
      <w:start w:val="1"/>
      <w:numFmt w:val="decimal"/>
      <w:lvlText w:val="%1."/>
      <w:lvlJc w:val="left"/>
      <w:pPr>
        <w:ind w:left="425" w:hanging="425"/>
      </w:pPr>
      <w:rPr>
        <w:rFonts w:hint="default"/>
      </w:rPr>
    </w:lvl>
  </w:abstractNum>
  <w:abstractNum w:abstractNumId="3">
    <w:nsid w:val="FCD0CEBC"/>
    <w:multiLevelType w:val="singleLevel"/>
    <w:tmpl w:val="FCD0CEBC"/>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DcwYmFiNTZmNjUzOTEwNTc5ZDUwNWM2MmM5MTYifQ=="/>
  </w:docVars>
  <w:rsids>
    <w:rsidRoot w:val="61385E12"/>
    <w:rsid w:val="008A2738"/>
    <w:rsid w:val="03772D01"/>
    <w:rsid w:val="04135BBB"/>
    <w:rsid w:val="04356973"/>
    <w:rsid w:val="060B3FC7"/>
    <w:rsid w:val="067907F7"/>
    <w:rsid w:val="07314A6A"/>
    <w:rsid w:val="07524D03"/>
    <w:rsid w:val="07F02301"/>
    <w:rsid w:val="0991581A"/>
    <w:rsid w:val="09B26CC5"/>
    <w:rsid w:val="0CB47336"/>
    <w:rsid w:val="0CE73BD2"/>
    <w:rsid w:val="0D667DDE"/>
    <w:rsid w:val="0F586A2D"/>
    <w:rsid w:val="0F7176F5"/>
    <w:rsid w:val="0FA746A9"/>
    <w:rsid w:val="10005824"/>
    <w:rsid w:val="107C0BFB"/>
    <w:rsid w:val="115A7956"/>
    <w:rsid w:val="11E64458"/>
    <w:rsid w:val="12FE16DE"/>
    <w:rsid w:val="13F131F5"/>
    <w:rsid w:val="14351FF1"/>
    <w:rsid w:val="17C75893"/>
    <w:rsid w:val="18744896"/>
    <w:rsid w:val="194E03D5"/>
    <w:rsid w:val="196941D1"/>
    <w:rsid w:val="1AEF4888"/>
    <w:rsid w:val="1D5E7B1B"/>
    <w:rsid w:val="1FD93E89"/>
    <w:rsid w:val="20A45FFF"/>
    <w:rsid w:val="20FC293F"/>
    <w:rsid w:val="21540B73"/>
    <w:rsid w:val="21CD0CED"/>
    <w:rsid w:val="223E7D15"/>
    <w:rsid w:val="22651CAD"/>
    <w:rsid w:val="22D04A02"/>
    <w:rsid w:val="24C71F2B"/>
    <w:rsid w:val="24DD7E02"/>
    <w:rsid w:val="2510340B"/>
    <w:rsid w:val="2CA51971"/>
    <w:rsid w:val="2D021AD0"/>
    <w:rsid w:val="2D762C9A"/>
    <w:rsid w:val="2D8F0B70"/>
    <w:rsid w:val="2F1C16C2"/>
    <w:rsid w:val="2F9527E6"/>
    <w:rsid w:val="2FA92E88"/>
    <w:rsid w:val="31CD4A09"/>
    <w:rsid w:val="363D4D9E"/>
    <w:rsid w:val="36F1131A"/>
    <w:rsid w:val="3718753F"/>
    <w:rsid w:val="38D75690"/>
    <w:rsid w:val="390B2632"/>
    <w:rsid w:val="39331E36"/>
    <w:rsid w:val="393D0B81"/>
    <w:rsid w:val="39A643A6"/>
    <w:rsid w:val="3CFB07DF"/>
    <w:rsid w:val="3D114B04"/>
    <w:rsid w:val="3D306998"/>
    <w:rsid w:val="3E621F26"/>
    <w:rsid w:val="3EAE5888"/>
    <w:rsid w:val="3F9116CC"/>
    <w:rsid w:val="3FB41B8F"/>
    <w:rsid w:val="408E324B"/>
    <w:rsid w:val="41702803"/>
    <w:rsid w:val="42E56823"/>
    <w:rsid w:val="43284690"/>
    <w:rsid w:val="44FC0749"/>
    <w:rsid w:val="45060134"/>
    <w:rsid w:val="48C60608"/>
    <w:rsid w:val="49C128B7"/>
    <w:rsid w:val="4A7B18FF"/>
    <w:rsid w:val="4AAA4A0A"/>
    <w:rsid w:val="4B70085E"/>
    <w:rsid w:val="4BCF1BC0"/>
    <w:rsid w:val="4DCF1164"/>
    <w:rsid w:val="4E0545B0"/>
    <w:rsid w:val="4E4D260C"/>
    <w:rsid w:val="4E6442BE"/>
    <w:rsid w:val="4F8A64FD"/>
    <w:rsid w:val="5033458B"/>
    <w:rsid w:val="51977C87"/>
    <w:rsid w:val="51B0245C"/>
    <w:rsid w:val="52CE4132"/>
    <w:rsid w:val="53B27EB9"/>
    <w:rsid w:val="53D145BC"/>
    <w:rsid w:val="56945B1D"/>
    <w:rsid w:val="56EE2D2C"/>
    <w:rsid w:val="56FB04C8"/>
    <w:rsid w:val="57102C42"/>
    <w:rsid w:val="57346F94"/>
    <w:rsid w:val="5ADA6144"/>
    <w:rsid w:val="5D5143E6"/>
    <w:rsid w:val="5EEE3F19"/>
    <w:rsid w:val="5F964035"/>
    <w:rsid w:val="61385E12"/>
    <w:rsid w:val="61C61AFC"/>
    <w:rsid w:val="64621347"/>
    <w:rsid w:val="64D1122E"/>
    <w:rsid w:val="651822E1"/>
    <w:rsid w:val="665E3D1B"/>
    <w:rsid w:val="671659E1"/>
    <w:rsid w:val="681C2B17"/>
    <w:rsid w:val="694A4060"/>
    <w:rsid w:val="6ABB3E90"/>
    <w:rsid w:val="6AF6016A"/>
    <w:rsid w:val="6B5273C1"/>
    <w:rsid w:val="6CCF3859"/>
    <w:rsid w:val="6D210B4F"/>
    <w:rsid w:val="6D624060"/>
    <w:rsid w:val="6DFC3DD4"/>
    <w:rsid w:val="6F1846AE"/>
    <w:rsid w:val="74673EDE"/>
    <w:rsid w:val="750452F3"/>
    <w:rsid w:val="759B2C0E"/>
    <w:rsid w:val="76CB75E9"/>
    <w:rsid w:val="76D769E0"/>
    <w:rsid w:val="77CA451A"/>
    <w:rsid w:val="77CD3ACE"/>
    <w:rsid w:val="78537BB3"/>
    <w:rsid w:val="787C46A7"/>
    <w:rsid w:val="79B044D5"/>
    <w:rsid w:val="7FEA4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autoRedefine/>
    <w:qFormat/>
    <w:uiPriority w:val="0"/>
    <w:pPr>
      <w:keepNext/>
      <w:widowControl w:val="0"/>
      <w:spacing w:line="360" w:lineRule="auto"/>
      <w:ind w:firstLine="300" w:firstLineChars="300"/>
      <w:jc w:val="both"/>
      <w:outlineLvl w:val="0"/>
    </w:pPr>
    <w:rPr>
      <w:rFonts w:ascii="宋体" w:hAnsi="Times New Roman" w:eastAsia="宋体" w:cs="Times New Roman"/>
      <w:b/>
      <w:bCs/>
      <w:kern w:val="2"/>
      <w:sz w:val="24"/>
      <w:lang w:val="en-US" w:eastAsia="zh-CN" w:bidi="ar-SA"/>
    </w:rPr>
  </w:style>
  <w:style w:type="paragraph" w:styleId="5">
    <w:name w:val="heading 2"/>
    <w:basedOn w:val="1"/>
    <w:next w:val="1"/>
    <w:autoRedefine/>
    <w:qFormat/>
    <w:uiPriority w:val="0"/>
    <w:pPr>
      <w:keepNext/>
      <w:widowControl w:val="0"/>
      <w:ind w:firstLine="100" w:firstLineChars="100"/>
      <w:jc w:val="both"/>
      <w:outlineLvl w:val="1"/>
    </w:pPr>
    <w:rPr>
      <w:rFonts w:ascii="宋体" w:hAnsi="Times New Roman" w:eastAsia="宋体" w:cs="Times New Roman"/>
      <w:b/>
      <w:bCs/>
      <w:kern w:val="2"/>
      <w:sz w:val="24"/>
      <w:lang w:val="en-US" w:eastAsia="zh-CN" w:bidi="ar-SA"/>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pPr>
    <w:rPr>
      <w:rFonts w:ascii="Times New Roman" w:hAnsi="Times New Roman" w:eastAsia="宋体" w:cs="Times New Roman"/>
      <w:sz w:val="24"/>
      <w:szCs w:val="24"/>
    </w:rPr>
  </w:style>
  <w:style w:type="paragraph" w:styleId="3">
    <w:name w:val="Body Text First Indent"/>
    <w:basedOn w:val="2"/>
    <w:autoRedefine/>
    <w:unhideWhenUsed/>
    <w:qFormat/>
    <w:uiPriority w:val="99"/>
    <w:pPr>
      <w:ind w:firstLine="420" w:firstLineChars="100"/>
    </w:pPr>
    <w:rPr>
      <w:rFonts w:ascii="Calibri" w:hAnsi="Calibri" w:eastAsia="宋体" w:cs="Times New Roman"/>
      <w:szCs w:val="24"/>
    </w:rPr>
  </w:style>
  <w:style w:type="paragraph" w:styleId="8">
    <w:name w:val="Normal Indent"/>
    <w:basedOn w:val="1"/>
    <w:autoRedefine/>
    <w:qFormat/>
    <w:uiPriority w:val="0"/>
    <w:pPr>
      <w:widowControl w:val="0"/>
      <w:spacing w:line="360" w:lineRule="auto"/>
      <w:ind w:firstLine="420" w:firstLineChars="200"/>
      <w:jc w:val="both"/>
    </w:pPr>
    <w:rPr>
      <w:rFonts w:ascii="Calibri"/>
      <w:kern w:val="2"/>
      <w:sz w:val="21"/>
      <w:szCs w:val="24"/>
    </w:rPr>
  </w:style>
  <w:style w:type="paragraph" w:styleId="9">
    <w:name w:val="Body Text Indent"/>
    <w:basedOn w:val="1"/>
    <w:autoRedefine/>
    <w:qFormat/>
    <w:uiPriority w:val="0"/>
    <w:pPr>
      <w:spacing w:line="360" w:lineRule="auto"/>
      <w:ind w:firstLine="555"/>
    </w:pPr>
    <w:rPr>
      <w:sz w:val="28"/>
      <w:szCs w:val="20"/>
    </w:rPr>
  </w:style>
  <w:style w:type="paragraph" w:styleId="10">
    <w:name w:val="footer"/>
    <w:basedOn w:val="1"/>
    <w:next w:val="11"/>
    <w:autoRedefine/>
    <w:qFormat/>
    <w:uiPriority w:val="0"/>
    <w:pPr>
      <w:tabs>
        <w:tab w:val="center" w:pos="4153"/>
        <w:tab w:val="right" w:pos="8306"/>
      </w:tabs>
      <w:snapToGrid w:val="0"/>
      <w:jc w:val="left"/>
    </w:pPr>
    <w:rPr>
      <w:sz w:val="18"/>
    </w:rPr>
  </w:style>
  <w:style w:type="paragraph" w:styleId="11">
    <w:name w:val="index 9"/>
    <w:basedOn w:val="1"/>
    <w:next w:val="1"/>
    <w:autoRedefine/>
    <w:qFormat/>
    <w:uiPriority w:val="0"/>
    <w:pPr>
      <w:spacing w:line="576" w:lineRule="exact"/>
      <w:ind w:left="3360" w:firstLine="200" w:firstLineChars="200"/>
      <w:jc w:val="left"/>
    </w:pPr>
    <w:rPr>
      <w:rFonts w:ascii="黑体" w:eastAsia="黑体"/>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autoRedefine/>
    <w:qFormat/>
    <w:uiPriority w:val="0"/>
    <w:pPr>
      <w:spacing w:before="120" w:after="120"/>
    </w:pPr>
    <w:rPr>
      <w:b/>
      <w:bCs/>
      <w:caps/>
      <w:szCs w:val="20"/>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10"/>
    <w:pPr>
      <w:spacing w:before="240" w:after="60"/>
      <w:jc w:val="center"/>
      <w:outlineLvl w:val="0"/>
    </w:pPr>
    <w:rPr>
      <w:rFonts w:ascii="Calibri Light" w:hAnsi="Calibri Light" w:eastAsia="宋体" w:cs="Times New Roman"/>
      <w:b/>
      <w:bCs/>
      <w:sz w:val="32"/>
      <w:szCs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null3"/>
    <w:autoRedefine/>
    <w:hidden/>
    <w:qFormat/>
    <w:uiPriority w:val="0"/>
    <w:rPr>
      <w:rFonts w:hint="eastAsia" w:asciiTheme="minorHAnsi" w:hAnsiTheme="minorHAnsi" w:eastAsiaTheme="minorEastAsia" w:cstheme="minorBidi"/>
      <w:lang w:val="en-US" w:eastAsia="zh-Hans"/>
    </w:rPr>
  </w:style>
  <w:style w:type="character" w:customStyle="1" w:styleId="22">
    <w:name w:val="font11"/>
    <w:basedOn w:val="18"/>
    <w:autoRedefine/>
    <w:qFormat/>
    <w:uiPriority w:val="0"/>
    <w:rPr>
      <w:rFonts w:hint="eastAsia" w:ascii="宋体" w:hAnsi="宋体" w:eastAsia="宋体" w:cs="宋体"/>
      <w:b/>
      <w:bCs/>
      <w:color w:val="000000"/>
      <w:sz w:val="21"/>
      <w:szCs w:val="21"/>
      <w:u w:val="none"/>
    </w:rPr>
  </w:style>
  <w:style w:type="character" w:customStyle="1" w:styleId="23">
    <w:name w:val="font21"/>
    <w:basedOn w:val="18"/>
    <w:autoRedefine/>
    <w:qFormat/>
    <w:uiPriority w:val="0"/>
    <w:rPr>
      <w:rFonts w:hint="eastAsia" w:ascii="宋体" w:hAnsi="宋体" w:eastAsia="宋体" w:cs="宋体"/>
      <w:color w:val="000000"/>
      <w:sz w:val="21"/>
      <w:szCs w:val="21"/>
      <w:u w:val="none"/>
    </w:rPr>
  </w:style>
  <w:style w:type="paragraph" w:customStyle="1" w:styleId="24">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5">
    <w:name w:val="NormalCharacter"/>
    <w:link w:val="1"/>
    <w:autoRedefine/>
    <w:semiHidden/>
    <w:qFormat/>
    <w:uiPriority w:val="0"/>
    <w:rPr>
      <w:rFonts w:ascii="仿宋_GB2312" w:hAnsi="Times New Roman" w:eastAsia="仿宋_GB2312" w:cs="Times New Roman"/>
      <w:kern w:val="2"/>
      <w:sz w:val="32"/>
      <w:szCs w:val="32"/>
      <w:lang w:val="en-US" w:eastAsia="zh-CN" w:bidi="ar-SA"/>
    </w:rPr>
  </w:style>
  <w:style w:type="character" w:customStyle="1" w:styleId="26">
    <w:name w:val="UserStyle_15"/>
    <w:autoRedefine/>
    <w:semiHidden/>
    <w:qFormat/>
    <w:uiPriority w:val="0"/>
  </w:style>
  <w:style w:type="character" w:customStyle="1" w:styleId="27">
    <w:name w:val="font41"/>
    <w:basedOn w:val="18"/>
    <w:autoRedefine/>
    <w:qFormat/>
    <w:uiPriority w:val="0"/>
    <w:rPr>
      <w:rFonts w:hint="eastAsia" w:ascii="宋体" w:hAnsi="宋体" w:eastAsia="宋体" w:cs="宋体"/>
      <w:color w:val="000000"/>
      <w:sz w:val="22"/>
      <w:szCs w:val="22"/>
      <w:u w:val="none"/>
    </w:rPr>
  </w:style>
  <w:style w:type="character" w:customStyle="1" w:styleId="28">
    <w:name w:val="font01"/>
    <w:basedOn w:val="18"/>
    <w:autoRedefine/>
    <w:qFormat/>
    <w:uiPriority w:val="0"/>
    <w:rPr>
      <w:rFonts w:ascii="新宋体" w:hAnsi="新宋体" w:eastAsia="新宋体" w:cs="新宋体"/>
      <w:color w:val="000000"/>
      <w:sz w:val="18"/>
      <w:szCs w:val="18"/>
      <w:u w:val="none"/>
    </w:rPr>
  </w:style>
  <w:style w:type="character" w:customStyle="1" w:styleId="29">
    <w:name w:val="font61"/>
    <w:basedOn w:val="18"/>
    <w:autoRedefine/>
    <w:qFormat/>
    <w:uiPriority w:val="0"/>
    <w:rPr>
      <w:rFonts w:ascii="Arial" w:hAnsi="Arial" w:cs="Arial"/>
      <w:color w:val="000000"/>
      <w:sz w:val="20"/>
      <w:szCs w:val="20"/>
      <w:u w:val="none"/>
    </w:rPr>
  </w:style>
  <w:style w:type="paragraph" w:customStyle="1" w:styleId="30">
    <w:name w:val="Preistext2"/>
    <w:basedOn w:val="1"/>
    <w:autoRedefine/>
    <w:qFormat/>
    <w:uiPriority w:val="0"/>
    <w:pPr>
      <w:widowControl/>
      <w:tabs>
        <w:tab w:val="left" w:pos="709"/>
        <w:tab w:val="left" w:pos="1701"/>
        <w:tab w:val="left" w:pos="3119"/>
      </w:tabs>
      <w:ind w:left="1843" w:right="1701"/>
      <w:jc w:val="left"/>
    </w:pPr>
    <w:rPr>
      <w:rFonts w:ascii="Arial" w:hAnsi="Arial" w:cs="Times New Roman"/>
      <w:kern w:val="0"/>
      <w:sz w:val="18"/>
      <w:szCs w:val="20"/>
      <w:lang w:val="en-GB" w:eastAsia="de-DE"/>
    </w:rPr>
  </w:style>
  <w:style w:type="paragraph" w:customStyle="1" w:styleId="31">
    <w:name w:val="List Paragraph1"/>
    <w:basedOn w:val="1"/>
    <w:autoRedefine/>
    <w:qFormat/>
    <w:uiPriority w:val="0"/>
    <w:pPr>
      <w:widowControl/>
      <w:ind w:firstLine="420" w:firstLineChars="200"/>
      <w:jc w:val="left"/>
    </w:pPr>
    <w:rPr>
      <w:rFonts w:ascii="Times New Roman" w:hAnsi="Times New Roman" w:cs="Times New Roman"/>
      <w:kern w:val="0"/>
      <w:sz w:val="24"/>
      <w:szCs w:val="20"/>
    </w:rPr>
  </w:style>
  <w:style w:type="character" w:customStyle="1" w:styleId="32">
    <w:name w:val="font31"/>
    <w:basedOn w:val="18"/>
    <w:autoRedefine/>
    <w:qFormat/>
    <w:uiPriority w:val="0"/>
    <w:rPr>
      <w:rFonts w:ascii="宋体" w:hAnsi="宋体" w:eastAsia="宋体" w:cs="宋体"/>
      <w:color w:val="000000"/>
      <w:sz w:val="16"/>
      <w:szCs w:val="16"/>
      <w:u w:val="non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styleId="34">
    <w:name w:val="List Paragraph"/>
    <w:basedOn w:val="1"/>
    <w:qFormat/>
    <w:uiPriority w:val="34"/>
    <w:pPr>
      <w:ind w:firstLine="420" w:firstLineChars="200"/>
    </w:pPr>
  </w:style>
  <w:style w:type="paragraph" w:customStyle="1" w:styleId="35">
    <w:name w:val="正文：仿宋，四号"/>
    <w:qFormat/>
    <w:uiPriority w:val="0"/>
    <w:pPr>
      <w:widowControl w:val="0"/>
      <w:spacing w:line="480" w:lineRule="exact"/>
      <w:ind w:firstLine="200" w:firstLineChars="200"/>
      <w:jc w:val="both"/>
    </w:pPr>
    <w:rPr>
      <w:rFonts w:ascii="Times New Roman" w:hAnsi="Times New Roman" w:eastAsia="仿宋" w:cs="Times New Roman"/>
      <w:sz w:val="28"/>
      <w:szCs w:val="22"/>
      <w:lang w:val="zh-CN" w:eastAsia="zh-CN" w:bidi="ar-SA"/>
    </w:rPr>
  </w:style>
  <w:style w:type="paragraph" w:customStyle="1" w:styleId="36">
    <w:name w:val="行头：仿宋，四号"/>
    <w:qFormat/>
    <w:uiPriority w:val="0"/>
    <w:pPr>
      <w:spacing w:line="480" w:lineRule="exact"/>
      <w:jc w:val="both"/>
    </w:pPr>
    <w:rPr>
      <w:rFonts w:ascii="Times New Roman" w:hAnsi="Times New Roman" w:eastAsia="仿宋" w:cs="Times New Roman"/>
      <w:b/>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9277</Words>
  <Characters>10005</Characters>
  <Lines>0</Lines>
  <Paragraphs>0</Paragraphs>
  <TotalTime>9</TotalTime>
  <ScaleCrop>false</ScaleCrop>
  <LinksUpToDate>false</LinksUpToDate>
  <CharactersWithSpaces>10767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2021-12-01T02:08:00Z</dcterms:created>
  <dc:creator>hasee</dc:creator>
  <cp:lastModifiedBy>你最珍贵。</cp:lastModifiedBy>
  <cp:lastPrinted>2024-10-29T02:30:00Z</cp:lastPrinted>
  <dcterms:modified xsi:type="dcterms:W3CDTF">2026-03-16T02:21:37Z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38A3FA2857BC4CA6B13B47D0A520DA16_13</vt:lpwstr>
  </property>
  <property fmtid="{D5CDD505-2E9C-101B-9397-08002B2CF9AE}" pid="4" name="KSOTemplateDocerSaveRecord">
    <vt:lpwstr>eyJoZGlkIjoiNDkyMWMxODE3ZDAzNzEwY2Y3NWFjNzZhMjc0Yjc3MWMiLCJ1c2VySWQiOiIyNTg1MDgxNDEifQ==</vt:lpwstr>
  </property>
</Properties>
</file>